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hd w:val="clear" w:color="auto" w:fill="ffff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Информация о реализации государственной программы </w:t>
      </w:r>
      <w:r>
        <w:rPr>
          <w:rFonts w:ascii="PT Astra Serif" w:hAnsi="PT Astra Serif"/>
          <w:b/>
          <w:sz w:val="26"/>
          <w:szCs w:val="26"/>
        </w:rPr>
        <w:br/>
      </w:r>
      <w:r>
        <w:rPr>
          <w:rFonts w:ascii="PT Astra Serif" w:hAnsi="PT Astra Serif"/>
          <w:b/>
          <w:sz w:val="26"/>
          <w:szCs w:val="26"/>
        </w:rPr>
        <w:t xml:space="preserve">«Улучшение инвестиционного климата и развитие экспорта Томской области» </w:t>
      </w:r>
      <w:r>
        <w:rPr>
          <w:rFonts w:ascii="PT Astra Serif" w:hAnsi="PT Astra Serif"/>
          <w:b/>
          <w:sz w:val="26"/>
          <w:szCs w:val="26"/>
        </w:rPr>
        <w:br/>
      </w:r>
      <w:r>
        <w:rPr>
          <w:rFonts w:ascii="PT Astra Serif" w:hAnsi="PT Astra Serif"/>
          <w:b/>
          <w:sz w:val="26"/>
          <w:szCs w:val="26"/>
        </w:rPr>
        <w:t xml:space="preserve">за 202</w:t>
      </w:r>
      <w:r>
        <w:rPr>
          <w:rFonts w:ascii="PT Astra Serif" w:hAnsi="PT Astra Serif"/>
          <w:b/>
          <w:sz w:val="26"/>
          <w:szCs w:val="26"/>
        </w:rPr>
        <w:t xml:space="preserve">4 год</w:t>
      </w:r>
      <w:r/>
    </w:p>
    <w:p>
      <w:pPr>
        <w:ind w:firstLine="709"/>
        <w:jc w:val="center"/>
        <w:shd w:val="clear" w:color="auto" w:fill="ffff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/>
    </w:p>
    <w:p>
      <w:pPr>
        <w:ind w:firstLine="709"/>
        <w:jc w:val="both"/>
        <w:shd w:val="clear" w:color="auto" w:fill="ffff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Г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осударственн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ая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программ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Улучшение инвестиционного климата и развитие экспорта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утвержденн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ая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постановлением Администрации Томской области от 26.09.2019 № 339а (да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лее –Государственная программа)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направлена на решение задачи 1.4 «Обеспечить улучшение инвестиционного климата и повышение качества государственного регулирования, содействовать укреплению международных и межрегиональных связей в Томской области»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цели 1 «Реализация модели интенсивного развития, включая развитие высокотехнологичных производств на основе потенциала научно-образовательного комплекса, создание условий для инвестиций, развитие предпринимательства»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Стратегии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социально-экономического развития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Томской области до 2030 года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.</w:t>
      </w:r>
      <w:r/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ind w:firstLine="709"/>
        <w:jc w:val="both"/>
        <w:shd w:val="clear" w:color="auto" w:fill="ffffff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</w:rPr>
        <w:t xml:space="preserve">Реализация Государственной программы осуществлялась за счет средств областного </w:t>
      </w:r>
      <w:r>
        <w:rPr>
          <w:rFonts w:ascii="PT Astra Serif" w:hAnsi="PT Astra Serif"/>
          <w:sz w:val="26"/>
          <w:szCs w:val="26"/>
        </w:rPr>
        <w:t xml:space="preserve">и местного </w:t>
      </w:r>
      <w:r>
        <w:rPr>
          <w:rFonts w:ascii="PT Astra Serif" w:hAnsi="PT Astra Serif"/>
          <w:sz w:val="26"/>
          <w:szCs w:val="26"/>
        </w:rPr>
        <w:t xml:space="preserve">бюджет</w:t>
      </w:r>
      <w:r>
        <w:rPr>
          <w:rFonts w:ascii="PT Astra Serif" w:hAnsi="PT Astra Serif"/>
          <w:sz w:val="26"/>
          <w:szCs w:val="26"/>
        </w:rPr>
        <w:t xml:space="preserve">ов</w:t>
      </w:r>
      <w:r>
        <w:rPr>
          <w:rFonts w:ascii="PT Astra Serif" w:hAnsi="PT Astra Serif"/>
          <w:sz w:val="26"/>
          <w:szCs w:val="26"/>
        </w:rPr>
        <w:t xml:space="preserve">. </w:t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Подпрограмма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1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«Формирование благоприятного инвестиционного климата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на территории Томской области» Государственной программы (далее - Подпрограмма 1)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реализовывалась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посредством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комплекса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процессных мероприятий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Повышение инвестиционной привлекательности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в том числе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осуществлялись следующие мероприятия:</w:t>
      </w:r>
      <w:r/>
      <w:r/>
    </w:p>
    <w:p>
      <w:pPr>
        <w:pStyle w:val="699"/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1) организация аудита сведений, предоставляемых инвесторами при получении государственной поддержки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Проведена аудиторская проверка по оценке достоверности сведений, предоставляемых инвесторами при получении государственной поддержки, в отношении 4 организаций (кому?)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pStyle w:val="699"/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2) возмещение части затрат в связи с производством (реализацией) товаров, выполнением работ, оказанием услуг в рамках реализации инвестиционных проектов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Поддержка в форме субсидий предоставлена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ООО «Компания Эскимос», ООО «Люмена», ООО «СЭТК», ИП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Гагалинский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С.П., ООО «Фирма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Биоветсервис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», ООО «СЭТК», ООО «Фаворит», ООО «Континент-Сервис», АО «ТГОК «Ильменит», ООО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Луквис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», ООО «Лес-Экспорт», ООО «НПО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Сибэлектромотор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». Поддержка в форме налоговых льгот предоставлена АО «ТГОК «Ильменит», ООО «Томский инструментальный завод», ООО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КриоГаз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Северо-Запад», ООО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Луквис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», ООО «МСТ», ООО «Посейдон», ООО «Неотехника»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pStyle w:val="699"/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3) информационное обеспечение субъектов инвестиционной деятельности и потенциальных инвесторов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 рамках которого осуществлено активное продвижение Инвестиционного портала Томской области в сети «Интернет». Количество посетителей портала в 2024 году составило 89405 человек. Разработаны информационные материалы с использованием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инфографики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для размещения на портале;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4) обеспечение благоприятного инвестиционного климата в Томской области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Разработаны и изготовлены информационные буклеты, содержащие информацию об инвестицион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ной деятельности, инвестиционном потенциале и инвестиционных площадках Томской области. Проведены рекламные кампании по вопросам улучшения инвестиционного климата, в том числе об условиях внедрения в Томской области регионального инвестиционных стандартов;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5) пред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оставление субсидий автономной некоммерческой организации «Агентство инвестиционного развития Томской области» в целях улучшения состояния инвестиционного климата в Томской области, в том числе обеспечения деятельности автономной некоммерческой организации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6) возмещение затрат в связи с созданием объектов инфраструктуры, необходимых для реализации новых инвестиционных проектов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убсидия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для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возмещени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я части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затрат на создание объектов инфраструктуры предоставлена ООО «Аэропорт ТОМСК»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 рамках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реализации нового инвестиционного проекта «Строительство нового аэровокзального комплекса внутренних воздушных линий международного аэропорта Томск».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и задачи Подпрограммы 1 на 202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4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год: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нтегральный индекс Томской области в Национальном рейтинге состояния инвестиционного климата в субъектах Российской Федерации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составил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25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5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57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балла.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Низкие значения при оценке показателей рейтинга получены по процедурам выдачи разрешения на строительство, подключения к электрическим сетям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и газопроводу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качеств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дорожных сетей, доступность трудовых ресурсов,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а также по показателям, характеризующим качество и доступность мер государственной поддержки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Не включены в расчет интегрального индекса Рейтинга показатели, характеризующие эффективность процедур по получению в аренду земельных участков с проведением торгов (в связи с недостаточным количеством качественных ответов респондентов).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При этом Томская область получила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высокие оценки по показателям характеризующим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среднее время подключения к сетям водоснабжения и водоотведения, оценка государственного частного парт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нерства, административное воздействие на бизнес,  качество Инвестиционного портала Томской области, оценка соблюдения положений региональной инвестиционной декларации, среднее время постановки на кадастровый учет, доля выпускников в промышленном производст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ве, сельском хозяйстве, строительстве от общей численной занятых в этих секторах, качество консультационных и образовательных услуг для субъектов МСП, доля государственных и муниципальных контрактов с субъектами МСП, доступность кредитных ресурсов для МСП.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Сокращено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количество процедур по подключению к сетям водоотведения с 7 до 6 процедур, повысился рейтинг ГЧП за счет заключения концессионных соглашений с 6 баллов до 18,5,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сокращено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административное воздействие на бизнес.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рейтинговая позиция Томской области по оценке инвестиционной привлекательности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сохранилась 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группе «С»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(н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изкий уровень инвестиционной привлекательности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)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</w:rPr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Подпрограмма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2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«Укрепление международных и региональных связей Томской области и привлечение лучшей мировой практики» (далее – Подпрограмма 2) Государственной программы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реализовывалась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посредством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комплекса процессных мероприятий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«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Развитие внешних связей Томской области», в том числе осуществлялись следующие мероприятия:</w:t>
      </w:r>
      <w:r/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1) организация и проведение презентационных, выставочных и иных мероприятий за пределами Томской области: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начале марта на площадке ВДНХ в рамках Международной выставки-форума «Россия» заместители Губернатора Томской област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 В.В. Потёмкин и Н.С. Слепнев приняли участие в открытии Дней Гродненской области в Павильоне Республики Беларусь, а позже там же представители Администрации Томской области презентовали инвестиционный потенциал региона представителям китайской провинции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Хайнань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мае на Международной выставке-форуме «Россия» представители Департамента международных и региональных связей Администрации Томской области представили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экспортный потенциал региона. Также делегации Томской области приняли участие: в Международном форуме «Россия – Исламский мир: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KazanForum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»; в работе 8-го Российского-Китайского ЭКСПО в г. Харбине, Китай; 4-ом заседании Постоянной Российско-Китайской рабочей группы по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вопросам регионального и приграничного сотрудничества; 19-ом заседании Постоянной Российско-Китайской рабочей группы по освоению и использованию лесных ресурсов; в заседании Ассоциации региональных администраций стран Северо-Восточной Азии (Южная Корея);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июне Томская область приняла участие в работе коллективной экспозиции регионов Сибирского федерального округа «Большая Сибирь» на Петербургском международном экономическом форуме. Также, во главе с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и.о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 заместителя Губернатора Томской области А.С Коневым состоялся визит делегации в Республику Беларусь для участия в Белорусской агропромышленной неделе и 34-ой международной выставке «БЕЛАГРО-2024». С 14-16 июня состоялся выезд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делегации Томской области в г. Гуанчжоу, Китай, для участия в 23-й Всемирной выставке экологической сельскохозяйственной продукции и пищевой промышленности 2024. Также, заместитель Губернатора Томской области В.В. Потёмкин посетил провинцию Тегеран, Иран.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10 по 11 июля делегация Томской области во главе с Губернатором В.В.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Мазуром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приняла участие в XI Российско-Киргизской межрегиональной конференции и 25-ом заседании Межправительственной Российско-Киргизской комиссии по торгово-экономическому, научно-техническому и гуманитарному сотрудничеству в г. Красноярске;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сентябре представитель Департамента международных и региональных связей Администрации Томской области принял участие в заседании Рабочей комиссии высокого уровня Ассоциации региональных администраций стран Северо-Восточной Азии (г.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Шеньян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, Китай);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октябре делегация Томской области: выезжала в Казахстан в целях налаживания сотрудничества в сфере образования и обмена опытом; участвовала в международном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экспортно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форуме «Сделано в России»; принимала участие во Втором Российско-Китайском форуму инвестиционного развития и торгового сотрудничества; во главе с Губернатором Томской области посетила Узбекистан с целью усиления двустороннего сотрудничества.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ноябр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 и декабре представители Администрации Томской области приняли участие в таких мероприятиях как Форум межрегионального сотрудничества России и Казахстана и заседании региональных координаторов Международной ассоциации северных территорий «Северный форум».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2) организация и проведение приемов, презентационных, выставочных и иных мероприятий, организованных на территории Томской области: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организованы в формате ВКС международные консультации томских предпринимателей с Торговыми представителями следующих стран: Алжир, Беларусь, Египет;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организованы визиты иностранных делегаций и делегаций регионов России: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4 раза Администрация Тоской области осуществляла прием делегаций из Республики Беларусь; 2 приема делегаций из Кыргызстана; делегация Казахстана во главе с Послом Казахстана в России; делегация Республики Башкортостан; 2 приема делегаций из Китайской Наро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дной Республики; делегация Посольства Республики Индия в РФ; делегация Генерального консульства Республики Корея в г. Иркутске; 2 приема Генерального консула Республики Узбекистан; делегация Посольства Республики Индонезия; делегация Свердловской области;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3) привлечение лучшей зарубежной и российской практики и экспертизы: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привлечение китайских мастеров для организации Фестиваля китайского кино;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организовано заседан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ие Совета по развитию экспорта в Томской области. Темой заседания стали вопросы развития торгово-экономического сотрудничества с Республикой Индия. Приглашенным экспертом заседания стал один из ведущих российских специалистов по Индии, руководитель Центра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Индоокеанского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региона Национального исследовательского института мировой экономики и международных отношений им. Е.М. Примакова РАН Алексей Куприянов;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в рамках практикума для томских студентов была приглашена бизнес-тренер Валерия Погодаева, которая рассказала участникам об особенностях и методах деловой коммуникации;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4) поддержка соотечественников и продвижение русского языка и культуры: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учителя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Увс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аймака Монголии проходили курсы русского языка;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 Международный литературный фестиваль-конкурс «Устами детей говорит мир»;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 телемост между школьниками Томска и Гродно (Республика Беларусь) на тему истории двух регионов.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5) подготовка и распространение информационных и презентационных материалов о Томской области и сувенирной продукции: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-проводилась рекламная кампания по продвижению Экспортного каталога Томской области;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актуализированы презентационные материалы для представления Томской области;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организовано изготовление и распространение презентационной и сувенирной продукции;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6) участие Томской области в деятельности Межрегиональной ассоциации «Сибирское соглашение»: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уплачен членский взнос в Межрегиональную ассоциацию «Сибирское соглашение» на операционную деятельность.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и задачи Подпрограммы 2 на 2023 год: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количество проведенных мероприятий, направленных на формирование благоприятного имиджа и повышение конкурентных преимуществ Томской области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– 53 ед.;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- количество подписанных соглашений, меморандумов, протоколов 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о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сотрудничестве между Администрацией Томской области и российскими и зарубежными партнерами – 4 ед.</w:t>
      </w:r>
      <w:r>
        <w:rPr>
          <w:rFonts w:ascii="PT Astra Serif" w:hAnsi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Подпрограмма 3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«Баланс экономических интересов потребителей и поставщиков на регулируемых рынках товаров и услуг» (далее – Подпрограмма 3)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Г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осударственной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программы реализовывалась посредством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 </w:t>
      </w:r>
      <w:bookmarkStart w:id="0" w:name="undefined"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к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омплексных процессных мероприятий</w:t>
      </w:r>
      <w:bookmarkEnd w:id="0"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1) «Реализация в муниципальных образованиях Томской области отдельных государственных полномочий по регулир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маршрутам» (далее – КПМ 1);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2) «Возмещение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товары (услуги) в соответствии с законодательством Российской Федерации» </w:t>
      </w:r>
      <w:bookmarkStart w:id="0" w:name="undefined"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(далее – КПМ 2);</w:t>
      </w:r>
      <w:bookmarkEnd w:id="0"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3)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(далее – КПМ 3).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 итогам реализации Подпрограммы 3 выполнены все запланированные мероприятия, позволяющие достичь баланса экономических интересов потребителей и поставщиков.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В рамках КПМ 1 предоставлены средства субвенции в размере 521,8 тыс. рублей 19 муниципальным образованиям Томской области на реализацию отдельных государственных полно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Показатель конечного результата достижения цели КПМ 1: «Удельный вес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обще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ственного транспорта, отмененных в судебном порядке, в общем количестве решений муниципальных образований Томской области по регулированию тарифов на перевозки пассажиров и багажа по муниципальным маршрутам» в 2024 году соответствует плановому значению 0%.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В рамках КПМ 2 в 2024 году предоставлены субсидии: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1)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ab/>
        <w:t xml:space="preserve">ООО «Кузбасс-Пригород» на возмещение недополученных доходов, возникших вследствие установления тарифов и (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или) их предельных уровней на услуги по перевозке пассажиров железнодорожным транспортом общего пользования в пригородном сообщении на уровне ниже экономически обоснованного, в размере 37 696,64 тыс. рублей. Показатель конечного результата достижения цели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КПМ 2 :«Доля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пассажиров, на которых распространяется действие тарифов для отдельных категорий пассажиров, в 2024 году соответствует плановому значению 100%.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2)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ab/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Ресурсоснабжающим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организациям на возмещение недополученных доходов в связи с применением в расчетах с льготными потребителями льготных тарифов на тепловую энергию (мощность) и (или) горячую воду, холодную воду и (или) водоотведение по льготным тари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фам, в размере 201 951,24 тыс. рублей. Показатель конечного результата достижения цели КПМ 2: «Доля потребителей, получивших коммунальный ресурс по льготному тарифу, от общего числа льготных потребителей», в 2024 году соответствует плановому значению 100%.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В рамках КПМ 3 из областного бюджета представлены субсидии на компенсацию расходов по организации тепло- и электроснабжения в отдельных районах Томской области: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- на компенсацию расходов по организации электроснабжения от дизельных электростанций – Александровскому,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Асиновскому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, Верхнекетскому, Каргасокскому, Колпашевскому, Молчановскому и Парабельскому районам в размере 352 744,6 тыс. руб.;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- н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 компенсацию расходов по организации теплоснабжения теплоснабжающими организациями, использующими в качестве топлива нефть или мазут – Бакчарскому, Зырянскому, Каргасокскому, Первомайскому, Чаинскому районам и ЗАТО г. Северск в размере 420 398,7 тыс. руб.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Показатель цели Подпрограммы 3, реализуемый в рамках КПМ 3: «Доля муниципальных районов Томской области, в которых соблюдается баланс экономических интересов потребителей и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энергоснабжающих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организаций, осуществляющих электроснабжение от дизельных электростанций и теплоснабжение теплоснабжающих организаций» в 2024 году соответствует значению 100,0 %.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  <w:widowControl w:val="off"/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Перечень запланированных результатов комплексных процессных мероприятий выполнен в полном объеме.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</w:r>
      <w:r/>
    </w:p>
    <w:p>
      <w:pPr>
        <w:ind w:firstLine="709"/>
        <w:jc w:val="both"/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В результате реализации мер государственного регулирования в период тарифной кампании н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а 2025 год все цены (тарифы) и сбытовые надбавки в сфере электроэнергетики, теплоснабжения, водоснабжения и водоотведения Департаментом тарифного регулирования Томской области установлены в соответствии с требованиями законодательства Российской Федерации.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/>
      <w:r>
        <w:rPr>
          <w:rFonts w:ascii="PT Astra Serif" w:hAnsi="PT Astra Serif"/>
          <w:color w:val="000000" w:themeColor="text1"/>
          <w:sz w:val="26"/>
          <w:szCs w:val="26"/>
        </w:rPr>
      </w:r>
      <w:r>
        <w:rPr>
          <w:rFonts w:ascii="PT Astra Serif" w:hAnsi="PT Astra Serif"/>
          <w:color w:val="000000" w:themeColor="text1"/>
          <w:sz w:val="26"/>
          <w:szCs w:val="26"/>
        </w:rPr>
      </w:r>
      <w:r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/>
          <w:sz w:val="26"/>
          <w:szCs w:val="26"/>
          <w:lang w:eastAsia="en-US"/>
        </w:rPr>
      </w:r>
      <w:r/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851" w:right="567" w:bottom="851" w:left="1134" w:header="34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76983347"/>
      <w:docPartObj>
        <w:docPartGallery w:val="Page Numbers (Top of Page)"/>
        <w:docPartUnique w:val="true"/>
      </w:docPartObj>
      <w:rPr/>
    </w:sdtPr>
    <w:sdtContent>
      <w:p>
        <w:pPr>
          <w:pStyle w:val="679"/>
          <w:spacing w:before="0" w:after="0"/>
          <w:rPr>
            <w:rFonts w:ascii="PT Astra Serif" w:hAnsi="PT Astra Serif"/>
            <w:b w:val="0"/>
            <w:sz w:val="26"/>
            <w:szCs w:val="26"/>
          </w:rPr>
        </w:pPr>
        <w:r>
          <w:rPr>
            <w:rFonts w:ascii="PT Astra Serif" w:hAnsi="PT Astra Serif"/>
            <w:b w:val="0"/>
            <w:sz w:val="26"/>
            <w:szCs w:val="26"/>
          </w:rPr>
          <w:fldChar w:fldCharType="begin"/>
        </w:r>
        <w:r>
          <w:rPr>
            <w:rFonts w:ascii="PT Astra Serif" w:hAnsi="PT Astra Serif"/>
            <w:b w:val="0"/>
            <w:sz w:val="26"/>
            <w:szCs w:val="26"/>
          </w:rPr>
          <w:instrText xml:space="preserve">PAGE   \* MERGEFORMAT</w:instrText>
        </w:r>
        <w:r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>
          <w:rPr>
            <w:rFonts w:ascii="PT Astra Serif" w:hAnsi="PT Astra Serif"/>
            <w:b w:val="0"/>
            <w:sz w:val="26"/>
            <w:szCs w:val="26"/>
          </w:rPr>
          <w:t xml:space="preserve">3</w:t>
        </w:r>
        <w:r>
          <w:rPr>
            <w:rFonts w:ascii="PT Astra Serif" w:hAnsi="PT Astra Serif"/>
            <w:b w:val="0"/>
            <w:sz w:val="26"/>
            <w:szCs w:val="26"/>
          </w:rP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9"/>
      <w:rPr>
        <w:rStyle w:val="681"/>
      </w:rPr>
      <w:framePr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end"/>
    </w:r>
    <w:r/>
  </w:p>
  <w:p>
    <w:pPr>
      <w:pStyle w:val="6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dit="trackedChanges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6"/>
    <w:link w:val="675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4"/>
    <w:next w:val="67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4"/>
    <w:next w:val="67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4"/>
    <w:next w:val="67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4"/>
    <w:next w:val="67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4"/>
    <w:next w:val="67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4"/>
    <w:next w:val="67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4"/>
    <w:next w:val="67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4"/>
    <w:next w:val="67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74"/>
    <w:next w:val="67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6"/>
    <w:link w:val="34"/>
    <w:uiPriority w:val="10"/>
    <w:rPr>
      <w:sz w:val="48"/>
      <w:szCs w:val="48"/>
    </w:rPr>
  </w:style>
  <w:style w:type="paragraph" w:styleId="36">
    <w:name w:val="Subtitle"/>
    <w:basedOn w:val="674"/>
    <w:next w:val="67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6"/>
    <w:link w:val="36"/>
    <w:uiPriority w:val="11"/>
    <w:rPr>
      <w:sz w:val="24"/>
      <w:szCs w:val="24"/>
    </w:rPr>
  </w:style>
  <w:style w:type="paragraph" w:styleId="38">
    <w:name w:val="Quote"/>
    <w:basedOn w:val="674"/>
    <w:next w:val="67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4"/>
    <w:next w:val="67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6"/>
    <w:link w:val="679"/>
    <w:uiPriority w:val="99"/>
  </w:style>
  <w:style w:type="character" w:styleId="45">
    <w:name w:val="Footer Char"/>
    <w:basedOn w:val="676"/>
    <w:link w:val="688"/>
    <w:uiPriority w:val="99"/>
  </w:style>
  <w:style w:type="paragraph" w:styleId="46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</w:style>
  <w:style w:type="table" w:styleId="49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7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6"/>
    <w:uiPriority w:val="99"/>
    <w:semiHidden/>
    <w:unhideWhenUsed/>
    <w:rPr>
      <w:vertAlign w:val="superscript"/>
    </w:rPr>
  </w:style>
  <w:style w:type="paragraph" w:styleId="181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75">
    <w:name w:val="Heading 1"/>
    <w:basedOn w:val="674"/>
    <w:link w:val="694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paragraph" w:styleId="679">
    <w:name w:val="Header"/>
    <w:basedOn w:val="674"/>
    <w:link w:val="680"/>
    <w:uiPriority w:val="99"/>
    <w:pPr>
      <w:ind w:firstLine="709"/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character" w:styleId="680" w:customStyle="1">
    <w:name w:val="Верхний колонтитул Знак"/>
    <w:basedOn w:val="676"/>
    <w:link w:val="679"/>
    <w:uiPriority w:val="99"/>
    <w:rPr>
      <w:rFonts w:ascii="Times New Roman" w:hAnsi="Times New Roman" w:eastAsia="Times New Roman" w:cs="Times New Roman"/>
      <w:b/>
      <w:caps/>
      <w:sz w:val="28"/>
      <w:szCs w:val="20"/>
      <w:lang w:eastAsia="ru-RU"/>
    </w:rPr>
  </w:style>
  <w:style w:type="character" w:styleId="681">
    <w:name w:val="page number"/>
    <w:basedOn w:val="676"/>
  </w:style>
  <w:style w:type="paragraph" w:styleId="682" w:customStyle="1">
    <w:name w:val="Обращение"/>
    <w:basedOn w:val="674"/>
    <w:next w:val="674"/>
    <w:pPr>
      <w:jc w:val="center"/>
      <w:spacing w:before="240" w:after="120"/>
    </w:pPr>
    <w:rPr>
      <w:b/>
      <w:sz w:val="26"/>
    </w:rPr>
  </w:style>
  <w:style w:type="character" w:styleId="683">
    <w:name w:val="Hyperlink"/>
    <w:rPr>
      <w:rFonts w:cs="Times New Roman"/>
      <w:color w:val="0000ff"/>
      <w:u w:val="single"/>
    </w:rPr>
  </w:style>
  <w:style w:type="paragraph" w:styleId="684" w:customStyle="1">
    <w:name w:val="Исполнитель"/>
    <w:basedOn w:val="674"/>
    <w:pPr>
      <w:ind w:firstLine="709"/>
      <w:jc w:val="both"/>
      <w:pBdr>
        <w:bottom w:val="none" w:color="000000" w:sz="4" w:space="1"/>
      </w:pBdr>
    </w:pPr>
    <w:rPr>
      <w:sz w:val="26"/>
      <w:szCs w:val="26"/>
    </w:rPr>
  </w:style>
  <w:style w:type="paragraph" w:styleId="685" w:customStyle="1">
    <w:name w:val="Знак"/>
    <w:basedOn w:val="674"/>
    <w:pPr>
      <w:spacing w:after="160" w:line="240" w:lineRule="exact"/>
    </w:pPr>
    <w:rPr>
      <w:rFonts w:ascii="Verdana" w:hAnsi="Verdana"/>
      <w:lang w:val="en-US" w:eastAsia="en-US"/>
    </w:rPr>
  </w:style>
  <w:style w:type="paragraph" w:styleId="686" w:customStyle="1">
    <w:name w:val="ConsPlusNormal"/>
    <w:link w:val="696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687">
    <w:name w:val="Table Grid"/>
    <w:basedOn w:val="677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8">
    <w:name w:val="Footer"/>
    <w:basedOn w:val="674"/>
    <w:link w:val="68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9" w:customStyle="1">
    <w:name w:val="Нижний колонтитул Знак"/>
    <w:basedOn w:val="676"/>
    <w:link w:val="68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90">
    <w:name w:val="Balloon Text"/>
    <w:basedOn w:val="674"/>
    <w:link w:val="69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91" w:customStyle="1">
    <w:name w:val="Текст выноски Знак"/>
    <w:basedOn w:val="676"/>
    <w:link w:val="69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692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693">
    <w:name w:val="footnote reference"/>
    <w:basedOn w:val="676"/>
    <w:uiPriority w:val="99"/>
    <w:semiHidden/>
    <w:unhideWhenUsed/>
    <w:rPr>
      <w:vertAlign w:val="superscript"/>
    </w:rPr>
  </w:style>
  <w:style w:type="character" w:styleId="694" w:customStyle="1">
    <w:name w:val="Заголовок 1 Знак"/>
    <w:basedOn w:val="676"/>
    <w:link w:val="67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95">
    <w:name w:val="Strong"/>
    <w:basedOn w:val="676"/>
    <w:uiPriority w:val="22"/>
    <w:qFormat/>
    <w:rPr>
      <w:b/>
      <w:bCs/>
    </w:rPr>
  </w:style>
  <w:style w:type="character" w:styleId="696" w:customStyle="1">
    <w:name w:val="ConsPlusNormal Знак"/>
    <w:link w:val="686"/>
    <w:rPr>
      <w:rFonts w:ascii="Calibri" w:hAnsi="Calibri" w:eastAsia="Times New Roman" w:cs="Calibri"/>
      <w:szCs w:val="20"/>
      <w:lang w:eastAsia="ru-RU"/>
    </w:rPr>
  </w:style>
  <w:style w:type="paragraph" w:styleId="697">
    <w:name w:val="List Paragraph"/>
    <w:basedOn w:val="674"/>
    <w:uiPriority w:val="34"/>
    <w:qFormat/>
    <w:pPr>
      <w:ind w:left="720"/>
    </w:pPr>
    <w:rPr>
      <w:rFonts w:ascii="Calibri" w:hAnsi="Calibri" w:eastAsia="Calibri" w:cs="Calibri"/>
      <w:sz w:val="22"/>
      <w:szCs w:val="22"/>
      <w:lang w:eastAsia="en-US"/>
    </w:rPr>
  </w:style>
  <w:style w:type="character" w:styleId="698">
    <w:name w:val="Emphasis"/>
    <w:basedOn w:val="676"/>
    <w:uiPriority w:val="20"/>
    <w:qFormat/>
    <w:rPr>
      <w:i/>
      <w:iCs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1_2154" w:customStyle="1">
    <w:name w:val="Normal (Web)"/>
    <w:basedOn w:val="676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3078-9167-4A30-829F-32F2400E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Фишер</dc:creator>
  <cp:keywords/>
  <dc:description/>
  <cp:revision>28</cp:revision>
  <dcterms:created xsi:type="dcterms:W3CDTF">2022-02-15T03:09:00Z</dcterms:created>
  <dcterms:modified xsi:type="dcterms:W3CDTF">2026-04-23T09:07:39Z</dcterms:modified>
</cp:coreProperties>
</file>