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 w:line="259" w:lineRule="auto"/>
        <w:rPr>
          <w:rFonts w:ascii="PT Astra Serif" w:hAnsi="PT Astra Serif" w:eastAsia="PT Astra Serif" w:cs="PT Astra Serif"/>
          <w:sz w:val="28"/>
          <w:szCs w:val="28"/>
          <w:lang w:val="ru-RU" w:bidi="en-US"/>
        </w:rPr>
      </w:pPr>
      <w:r>
        <w:rPr>
          <w:rFonts w:ascii="PT Astra Serif" w:hAnsi="PT Astra Serif" w:eastAsia="PT Astra Serif" w:cs="PT Astra Serif"/>
          <w:sz w:val="28"/>
          <w:szCs w:val="28"/>
          <w:lang w:val="ru-RU" w:bidi="en-US"/>
        </w:rPr>
        <w:t xml:space="preserve">Сведения о расходовании бюджетных средств </w:t>
      </w:r>
      <w:r>
        <w:rPr>
          <w:rFonts w:ascii="PT Astra Serif" w:hAnsi="PT Astra Serif" w:eastAsia="PT Astra Serif" w:cs="PT Astra Serif"/>
          <w:sz w:val="28"/>
          <w:szCs w:val="28"/>
          <w:lang w:val="ru-RU" w:bidi="en-US"/>
        </w:rPr>
        <w:br/>
      </w:r>
      <w:r>
        <w:rPr>
          <w:rFonts w:ascii="PT Astra Serif" w:hAnsi="PT Astra Serif" w:eastAsia="PT Astra Serif" w:cs="PT Astra Serif"/>
          <w:sz w:val="28"/>
          <w:szCs w:val="28"/>
          <w:lang w:val="ru-RU" w:bidi="en-US"/>
        </w:rPr>
        <w:t xml:space="preserve">Департаментом инвестиционной и промышленной политики Томской области </w:t>
      </w:r>
      <w:r/>
    </w:p>
    <w:p>
      <w:pPr>
        <w:ind w:left="0" w:right="0" w:firstLine="0"/>
        <w:jc w:val="center"/>
        <w:spacing w:before="0" w:after="0" w:line="259" w:lineRule="auto"/>
        <w:rPr>
          <w:rFonts w:ascii="PT Astra Serif" w:hAnsi="PT Astra Serif" w:eastAsia="PT Astra Serif" w:cs="PT Astra Serif"/>
          <w:sz w:val="28"/>
          <w:szCs w:val="28"/>
          <w:lang w:val="ru-RU" w:bidi="en-US"/>
        </w:rPr>
      </w:pPr>
      <w:r>
        <w:rPr>
          <w:rFonts w:ascii="PT Astra Serif" w:hAnsi="PT Astra Serif" w:eastAsia="PT Astra Serif" w:cs="PT Astra Serif"/>
          <w:sz w:val="28"/>
          <w:szCs w:val="28"/>
          <w:lang w:val="ru-RU" w:bidi="en-US"/>
        </w:rPr>
        <w:t xml:space="preserve">за 2025 год</w:t>
      </w:r>
      <w:r/>
    </w:p>
    <w:p>
      <w:pPr>
        <w:ind w:left="0" w:right="0" w:firstLine="0"/>
        <w:jc w:val="center"/>
        <w:spacing w:before="0" w:after="0" w:line="259" w:lineRule="auto"/>
        <w:rPr>
          <w:rFonts w:ascii="PT Astra Serif" w:hAnsi="PT Astra Serif" w:eastAsia="PT Astra Serif" w:cs="PT Astra Serif"/>
          <w:sz w:val="28"/>
          <w:szCs w:val="28"/>
          <w:lang w:val="ru-RU" w:bidi="en-US"/>
        </w:rPr>
      </w:pPr>
      <w:r>
        <w:rPr>
          <w:rFonts w:ascii="PT Astra Serif" w:hAnsi="PT Astra Serif" w:eastAsia="PT Astra Serif" w:cs="PT Astra Serif"/>
          <w:sz w:val="28"/>
          <w:szCs w:val="28"/>
          <w:lang w:val="ru-RU" w:bidi="en-US"/>
        </w:rPr>
      </w:r>
      <w:r/>
    </w:p>
    <w:tbl>
      <w:tblPr>
        <w:tblStyle w:val="81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291"/>
        <w:gridCol w:w="213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1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sz w:val="24"/>
                <w:szCs w:val="24"/>
                <w:lang w:val="ru-RU" w:bidi="en-US"/>
              </w:rPr>
              <w:t xml:space="preserve">Наименование</w:t>
            </w:r>
            <w:r>
              <w:rPr>
                <w:rFonts w:ascii="PT Serif" w:hAnsi="PT Serif" w:cs="PT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sz w:val="24"/>
                <w:szCs w:val="24"/>
                <w:lang w:val="ru-RU" w:bidi="en-US"/>
              </w:rPr>
              <w:t xml:space="preserve">Исполнено, </w:t>
              <w:br/>
              <w:t xml:space="preserve">тыс. руб. </w:t>
            </w:r>
            <w:r>
              <w:rPr>
                <w:rFonts w:ascii="PT Serif" w:hAnsi="PT Serif" w:cs="PT Serif"/>
                <w:sz w:val="24"/>
                <w:szCs w:val="24"/>
              </w:rPr>
            </w:r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1" w:type="dxa"/>
            <w:vAlign w:val="top"/>
            <w:textDirection w:val="lrTb"/>
            <w:noWrap w:val="false"/>
          </w:tcPr>
          <w:p>
            <w:pPr>
              <w:pStyle w:val="817"/>
              <w:ind w:left="0" w:right="0"/>
              <w:jc w:val="left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b w:val="0"/>
                <w:bCs w:val="0"/>
                <w:sz w:val="24"/>
                <w:szCs w:val="24"/>
                <w:lang w:val="ru-RU" w:bidi="ru-RU"/>
              </w:rPr>
              <w:t xml:space="preserve">Государственная программа «Улучшение инвестиционного климата и развитие экспорта Томской области», в том числе:</w:t>
            </w:r>
            <w:r>
              <w:rPr>
                <w:rFonts w:ascii="PT Serif" w:hAnsi="PT Serif" w:cs="PT Serif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1" w:type="dxa"/>
            <w:vAlign w:val="top"/>
            <w:textDirection w:val="lrTb"/>
            <w:noWrap w:val="false"/>
          </w:tcPr>
          <w:p>
            <w:pPr>
              <w:pStyle w:val="817"/>
              <w:ind w:left="0" w:right="0"/>
              <w:jc w:val="left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b w:val="0"/>
                <w:bCs w:val="0"/>
                <w:sz w:val="24"/>
                <w:szCs w:val="24"/>
                <w:lang w:val="ru-RU" w:bidi="ru-RU"/>
              </w:rPr>
              <w:t xml:space="preserve">Комплекс процессных мероприятий «Повышение инвестиционной привлекательности Томской области», в том числе:</w:t>
            </w:r>
            <w:r>
              <w:rPr>
                <w:rFonts w:ascii="PT Serif" w:hAnsi="PT Serif" w:cs="PT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pStyle w:val="817"/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bCs w:val="0"/>
                <w:i w:val="0"/>
                <w:sz w:val="24"/>
                <w:szCs w:val="24"/>
              </w:rPr>
              <w:suppressLineNumbers w:val="0"/>
            </w:pP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</w: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49 619,8</w:t>
            </w: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1" w:type="dxa"/>
            <w:vAlign w:val="center"/>
            <w:textDirection w:val="lrTb"/>
            <w:noWrap w:val="false"/>
          </w:tcPr>
          <w:p>
            <w:pPr>
              <w:pStyle w:val="817"/>
              <w:ind w:left="0" w:right="0"/>
              <w:jc w:val="left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b w:val="0"/>
                <w:bCs w:val="0"/>
                <w:i/>
                <w:iCs/>
                <w:sz w:val="24"/>
                <w:szCs w:val="24"/>
                <w:lang w:val="ru-RU" w:bidi="ru-RU"/>
              </w:rPr>
              <w:t xml:space="preserve">Организация аудита сведений, предоставляемых инвесторами при получении государственной поддержки</w:t>
            </w:r>
            <w:r>
              <w:rPr>
                <w:rFonts w:ascii="PT Serif" w:hAnsi="PT Serif" w:cs="PT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pStyle w:val="817"/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bCs w:val="0"/>
                <w:i w:val="0"/>
                <w:sz w:val="24"/>
                <w:szCs w:val="24"/>
              </w:rPr>
              <w:suppressLineNumbers w:val="0"/>
            </w:pP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100,0</w:t>
            </w:r>
            <w:r>
              <w:rPr>
                <w:rFonts w:ascii="PT Serif" w:hAnsi="PT Serif" w:cs="PT Serif"/>
                <w:i w:val="0"/>
                <w:iCs w:val="0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1" w:type="dxa"/>
            <w:vAlign w:val="center"/>
            <w:textDirection w:val="lrTb"/>
            <w:noWrap w:val="false"/>
          </w:tcPr>
          <w:p>
            <w:pPr>
              <w:pStyle w:val="817"/>
              <w:ind w:left="0" w:right="0"/>
              <w:jc w:val="left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b w:val="0"/>
                <w:bCs w:val="0"/>
                <w:i/>
                <w:iCs/>
                <w:sz w:val="24"/>
                <w:szCs w:val="24"/>
                <w:lang w:val="ru-RU" w:bidi="ru-RU"/>
              </w:rPr>
              <w:t xml:space="preserve">Возмещение части затрат в связи с производством (реализацией) товаров, выполнением работ, оказанием услуг в рамках реализации инвестиционных проектов</w:t>
            </w:r>
            <w:r>
              <w:rPr>
                <w:rFonts w:ascii="PT Serif" w:hAnsi="PT Serif" w:cs="PT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pStyle w:val="817"/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bCs w:val="0"/>
                <w:i w:val="0"/>
                <w:sz w:val="24"/>
                <w:szCs w:val="24"/>
              </w:rPr>
              <w:suppressLineNumbers w:val="0"/>
            </w:pP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32 000,0</w:t>
            </w:r>
            <w:r>
              <w:rPr>
                <w:rFonts w:ascii="PT Serif" w:hAnsi="PT Serif" w:cs="PT Serif"/>
                <w:i w:val="0"/>
                <w:iCs w:val="0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1" w:type="dxa"/>
            <w:vAlign w:val="center"/>
            <w:textDirection w:val="lrTb"/>
            <w:noWrap w:val="false"/>
          </w:tcPr>
          <w:p>
            <w:pPr>
              <w:pStyle w:val="817"/>
              <w:ind w:left="0" w:right="0"/>
              <w:jc w:val="left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b w:val="0"/>
                <w:bCs w:val="0"/>
                <w:i/>
                <w:iCs/>
                <w:sz w:val="24"/>
                <w:szCs w:val="24"/>
                <w:lang w:val="ru-RU" w:bidi="ru-RU"/>
              </w:rPr>
              <w:t xml:space="preserve">Информационное обеспечение субъектов инвестиционной деятельности и потенциальных инвесторов</w:t>
            </w:r>
            <w:r>
              <w:rPr>
                <w:rFonts w:ascii="PT Serif" w:hAnsi="PT Serif" w:cs="PT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pStyle w:val="817"/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bCs w:val="0"/>
                <w:i w:val="0"/>
                <w:sz w:val="24"/>
                <w:szCs w:val="24"/>
              </w:rPr>
              <w:suppressLineNumbers w:val="0"/>
            </w:pP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</w: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392,6</w:t>
            </w: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1" w:type="dxa"/>
            <w:vAlign w:val="center"/>
            <w:textDirection w:val="lrTb"/>
            <w:noWrap w:val="false"/>
          </w:tcPr>
          <w:p>
            <w:pPr>
              <w:pStyle w:val="817"/>
              <w:ind w:left="0" w:right="0"/>
              <w:jc w:val="left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b w:val="0"/>
                <w:bCs w:val="0"/>
                <w:i/>
                <w:iCs/>
                <w:sz w:val="24"/>
                <w:szCs w:val="24"/>
                <w:lang w:val="ru-RU" w:bidi="ru-RU"/>
              </w:rPr>
              <w:t xml:space="preserve">Обеспечение благоприятного инвестиционного климата в Томской области</w:t>
            </w:r>
            <w:r>
              <w:rPr>
                <w:rFonts w:ascii="PT Serif" w:hAnsi="PT Serif" w:cs="PT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pStyle w:val="817"/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bCs w:val="0"/>
                <w:i w:val="0"/>
                <w:sz w:val="24"/>
                <w:szCs w:val="24"/>
              </w:rPr>
              <w:suppressLineNumbers w:val="0"/>
            </w:pP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</w: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91,0</w:t>
            </w: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1" w:type="dxa"/>
            <w:vAlign w:val="center"/>
            <w:textDirection w:val="lrTb"/>
            <w:noWrap w:val="false"/>
          </w:tcPr>
          <w:p>
            <w:pPr>
              <w:pStyle w:val="817"/>
              <w:ind w:left="0" w:right="0"/>
              <w:jc w:val="left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b w:val="0"/>
                <w:bCs w:val="0"/>
                <w:i/>
                <w:iCs/>
                <w:sz w:val="24"/>
                <w:szCs w:val="24"/>
                <w:lang w:val="ru-RU" w:bidi="ru-RU"/>
              </w:rPr>
              <w:t xml:space="preserve">Субсидия автономной некоммерческой организации "Агентство инвестиционного развития Томской области" в целях улучшения состояния инвестиционного климата в Томской области, в том числе обеспечения деятельности автономной некоммерческой организации</w:t>
            </w:r>
            <w:r>
              <w:rPr>
                <w:rFonts w:ascii="PT Serif" w:hAnsi="PT Serif" w:cs="PT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pStyle w:val="817"/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bCs w:val="0"/>
                <w:i w:val="0"/>
                <w:sz w:val="24"/>
                <w:szCs w:val="24"/>
              </w:rPr>
              <w:suppressLineNumbers w:val="0"/>
            </w:pP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</w: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17 036,2</w:t>
            </w: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91" w:type="dxa"/>
            <w:vAlign w:val="top"/>
            <w:textDirection w:val="lrTb"/>
            <w:noWrap w:val="false"/>
          </w:tcPr>
          <w:p>
            <w:pPr>
              <w:pStyle w:val="817"/>
              <w:ind w:left="0" w:right="0"/>
              <w:jc w:val="left"/>
              <w:spacing w:before="0" w:after="0" w:line="240" w:lineRule="auto"/>
              <w:rPr>
                <w:rFonts w:ascii="PT Serif" w:hAnsi="PT Serif" w:cs="PT Serif"/>
                <w:sz w:val="24"/>
                <w:szCs w:val="24"/>
              </w:rPr>
            </w:pPr>
            <w:r>
              <w:rPr>
                <w:rFonts w:ascii="PT Serif" w:hAnsi="PT Serif" w:eastAsia="PT Astra Serif" w:cs="PT Serif"/>
                <w:b w:val="0"/>
                <w:bCs w:val="0"/>
                <w:sz w:val="24"/>
                <w:szCs w:val="24"/>
                <w:lang w:val="ru-RU" w:bidi="ru-RU"/>
              </w:rPr>
              <w:t xml:space="preserve"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  <w:r>
              <w:rPr>
                <w:rFonts w:ascii="PT Serif" w:hAnsi="PT Serif" w:cs="PT Serif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0" w:type="dxa"/>
            <w:vAlign w:val="center"/>
            <w:textDirection w:val="lrTb"/>
            <w:noWrap w:val="false"/>
          </w:tcPr>
          <w:p>
            <w:pPr>
              <w:pStyle w:val="817"/>
              <w:ind w:left="0" w:right="0"/>
              <w:jc w:val="center"/>
              <w:spacing w:before="0" w:after="0" w:line="240" w:lineRule="auto"/>
              <w:rPr>
                <w:rFonts w:ascii="PT Serif" w:hAnsi="PT Serif" w:cs="PT Serif"/>
                <w:bCs w:val="0"/>
                <w:i w:val="0"/>
                <w:sz w:val="24"/>
                <w:szCs w:val="24"/>
              </w:rPr>
              <w:suppressLineNumbers w:val="0"/>
            </w:pP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</w: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  <w:t xml:space="preserve">82 517,9</w:t>
            </w:r>
            <w:r>
              <w:rPr>
                <w:rFonts w:ascii="PT Serif" w:hAnsi="PT Serif" w:eastAsia="PT Astra Serif" w:cs="PT Serif"/>
                <w:b w:val="0"/>
                <w:bCs w:val="0"/>
                <w:i w:val="0"/>
                <w:iCs w:val="0"/>
                <w:sz w:val="24"/>
                <w:szCs w:val="24"/>
                <w:lang w:val="ru-RU" w:bidi="ru-RU"/>
              </w:rPr>
            </w:r>
            <w:r/>
          </w:p>
        </w:tc>
      </w:tr>
    </w:tbl>
    <w:p>
      <w:pPr>
        <w:ind w:left="0" w:right="0" w:firstLine="0"/>
        <w:jc w:val="center"/>
        <w:spacing w:before="0" w:after="160" w:line="259" w:lineRule="auto"/>
        <w:rPr>
          <w:rFonts w:ascii="PT Astra Serif" w:hAnsi="PT Astra Serif" w:eastAsia="PT Astra Serif" w:cs="PT Astra Serif"/>
          <w:sz w:val="28"/>
          <w:szCs w:val="28"/>
          <w:lang w:val="ru-RU" w:bidi="en-US"/>
        </w:rPr>
      </w:pPr>
      <w:r>
        <w:rPr>
          <w:rFonts w:ascii="PT Astra Serif" w:hAnsi="PT Astra Serif" w:eastAsia="PT Astra Serif" w:cs="PT Astra Serif"/>
          <w:sz w:val="28"/>
          <w:szCs w:val="28"/>
          <w:lang w:val="ru-RU" w:bidi="en-US"/>
        </w:rPr>
      </w:r>
      <w:r/>
    </w:p>
    <w:p>
      <w:pPr>
        <w:ind w:left="0" w:right="0" w:firstLine="0"/>
        <w:jc w:val="center"/>
        <w:spacing w:before="0" w:after="160" w:line="259" w:lineRule="auto"/>
        <w:rPr>
          <w:rFonts w:ascii="PT Astra Serif" w:hAnsi="PT Astra Serif" w:eastAsia="PT Astra Serif" w:cs="PT Astra Serif"/>
          <w:sz w:val="28"/>
          <w:szCs w:val="28"/>
          <w:lang w:val="ru-RU" w:bidi="en-US"/>
        </w:rPr>
      </w:pPr>
      <w:r>
        <w:rPr>
          <w:rFonts w:ascii="PT Astra Serif" w:hAnsi="PT Astra Serif" w:eastAsia="PT Astra Serif" w:cs="PT Astra Serif"/>
          <w:sz w:val="28"/>
          <w:szCs w:val="28"/>
          <w:lang w:val="ru-RU" w:bidi="en-US"/>
        </w:rPr>
      </w:r>
      <w:r/>
    </w:p>
    <w:p>
      <w:pPr>
        <w:ind w:left="0" w:right="0" w:firstLine="0"/>
        <w:jc w:val="center"/>
        <w:spacing w:before="0" w:after="160" w:line="259" w:lineRule="auto"/>
        <w:rPr>
          <w:rFonts w:ascii="PT Astra Serif" w:hAnsi="PT Astra Serif" w:eastAsia="PT Astra Serif" w:cs="PT Astra Serif"/>
          <w:sz w:val="28"/>
          <w:szCs w:val="28"/>
          <w:lang w:val="ru-RU" w:bidi="en-US"/>
        </w:rPr>
      </w:pPr>
      <w:r>
        <w:rPr>
          <w:rFonts w:ascii="PT Astra Serif" w:hAnsi="PT Astra Serif" w:eastAsia="PT Astra Serif" w:cs="PT Astra Serif"/>
          <w:sz w:val="28"/>
          <w:szCs w:val="28"/>
          <w:lang w:val="ru-RU" w:bidi="en-US"/>
        </w:rPr>
      </w:r>
      <w:r/>
    </w:p>
    <w:sectPr>
      <w:footnotePr>
        <w:pos w:val="pageBottom"/>
      </w:footnotePr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jc w:val="left"/>
        <w:rPr>
          <w:rFonts w:ascii="Times New Roman" w:hAnsi="Times New Roman" w:eastAsia="Times New Roman" w:cs="Times New Roman"/>
          <w:lang w:val="ru-RU" w:bidi="ru-RU"/>
        </w:rPr>
      </w:pPr>
      <w:r>
        <w:rPr>
          <w:rFonts w:ascii="Times New Roman" w:hAnsi="Times New Roman" w:eastAsia="Times New Roman" w:cs="Times New Roman"/>
          <w:lang w:val="ru-RU" w:bidi="ru-RU"/>
        </w:rPr>
        <w:separator/>
      </w:r>
      <w:r/>
    </w:p>
  </w:endnote>
  <w:endnote w:type="continuationSeparator" w:id="0">
    <w:p>
      <w:pPr>
        <w:jc w:val="left"/>
        <w:rPr>
          <w:rFonts w:ascii="Times New Roman" w:hAnsi="Times New Roman" w:eastAsia="Times New Roman" w:cs="Times New Roman"/>
          <w:lang w:val="ru-RU" w:bidi="ru-RU"/>
        </w:rPr>
      </w:pPr>
      <w:r>
        <w:rPr>
          <w:rFonts w:ascii="Times New Roman" w:hAnsi="Times New Roman" w:eastAsia="Times New Roman" w:cs="Times New Roman"/>
          <w:lang w:val="ru-RU" w:bidi="ru-RU"/>
        </w:rPr>
        <w: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erif">
    <w:panose1 w:val="020A0603040505020204"/>
  </w:font>
  <w:font w:name="Times New Roman">
    <w:panose1 w:val="020206030504050203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jc w:val="left"/>
        <w:rPr>
          <w:rFonts w:ascii="Times New Roman" w:hAnsi="Times New Roman" w:eastAsia="Times New Roman" w:cs="Times New Roman"/>
          <w:lang w:val="ru-RU" w:bidi="ru-RU"/>
        </w:rPr>
      </w:pPr>
      <w:r>
        <w:rPr>
          <w:rFonts w:ascii="Times New Roman" w:hAnsi="Times New Roman" w:eastAsia="Times New Roman" w:cs="Times New Roman"/>
          <w:lang w:val="ru-RU" w:bidi="ru-RU"/>
        </w:rPr>
        <w:separator/>
      </w:r>
      <w:r/>
    </w:p>
  </w:footnote>
  <w:footnote w:type="continuationSeparator" w:id="0">
    <w:p>
      <w:pPr>
        <w:jc w:val="left"/>
        <w:rPr>
          <w:rFonts w:ascii="Times New Roman" w:hAnsi="Times New Roman" w:eastAsia="Times New Roman" w:cs="Times New Roman"/>
          <w:lang w:val="ru-RU" w:bidi="ru-RU"/>
        </w:rPr>
      </w:pPr>
      <w:r>
        <w:rPr>
          <w:rFonts w:ascii="Times New Roman" w:hAnsi="Times New Roman" w:eastAsia="Times New Roman" w:cs="Times New Roman"/>
          <w:lang w:val="ru-RU" w:bidi="ru-RU"/>
        </w:rP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dispDef m:val="false"/>
    <m:lMargin m:val="0"/>
    <m:rMargin m:val="0"/>
    <m:defJc m:val="center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zh-CN" w:bidi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3"/>
    <w:next w:val="813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basedOn w:val="814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3"/>
    <w:next w:val="813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basedOn w:val="814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3"/>
    <w:next w:val="813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basedOn w:val="814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3"/>
    <w:next w:val="813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basedOn w:val="814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3"/>
    <w:next w:val="813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basedOn w:val="814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3"/>
    <w:next w:val="813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basedOn w:val="814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3"/>
    <w:next w:val="813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basedOn w:val="814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3"/>
    <w:next w:val="813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basedOn w:val="814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3"/>
    <w:next w:val="813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basedOn w:val="814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List Paragraph"/>
    <w:basedOn w:val="813"/>
    <w:uiPriority w:val="34"/>
    <w:qFormat/>
    <w:pPr>
      <w:contextualSpacing/>
      <w:ind w:left="720"/>
    </w:pPr>
  </w:style>
  <w:style w:type="paragraph" w:styleId="655">
    <w:name w:val="No Spacing"/>
    <w:uiPriority w:val="1"/>
    <w:qFormat/>
    <w:pPr>
      <w:spacing w:before="0" w:after="0" w:line="240" w:lineRule="auto"/>
    </w:pPr>
  </w:style>
  <w:style w:type="paragraph" w:styleId="656">
    <w:name w:val="Title"/>
    <w:basedOn w:val="813"/>
    <w:next w:val="813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basedOn w:val="814"/>
    <w:link w:val="656"/>
    <w:uiPriority w:val="10"/>
    <w:rPr>
      <w:sz w:val="48"/>
      <w:szCs w:val="48"/>
    </w:rPr>
  </w:style>
  <w:style w:type="paragraph" w:styleId="658">
    <w:name w:val="Subtitle"/>
    <w:basedOn w:val="813"/>
    <w:next w:val="813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basedOn w:val="814"/>
    <w:link w:val="658"/>
    <w:uiPriority w:val="11"/>
    <w:rPr>
      <w:sz w:val="24"/>
      <w:szCs w:val="24"/>
    </w:rPr>
  </w:style>
  <w:style w:type="paragraph" w:styleId="660">
    <w:name w:val="Quote"/>
    <w:basedOn w:val="813"/>
    <w:next w:val="813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3"/>
    <w:next w:val="813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3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basedOn w:val="814"/>
    <w:link w:val="664"/>
    <w:uiPriority w:val="99"/>
  </w:style>
  <w:style w:type="paragraph" w:styleId="666">
    <w:name w:val="Footer"/>
    <w:basedOn w:val="813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basedOn w:val="814"/>
    <w:link w:val="666"/>
    <w:uiPriority w:val="99"/>
  </w:style>
  <w:style w:type="paragraph" w:styleId="668">
    <w:name w:val="Caption"/>
    <w:basedOn w:val="813"/>
    <w:next w:val="8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9">
    <w:name w:val="Caption Char"/>
    <w:basedOn w:val="668"/>
    <w:link w:val="666"/>
    <w:uiPriority w:val="99"/>
  </w:style>
  <w:style w:type="table" w:styleId="670">
    <w:name w:val="Table Grid Light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Plain Table 1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2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4">
    <w:name w:val="Plain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Plain Table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6">
    <w:name w:val="Grid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8">
    <w:name w:val="Grid Table 4 - Accent 1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9">
    <w:name w:val="Grid Table 4 - Accent 2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0">
    <w:name w:val="Grid Table 4 - Accent 3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1">
    <w:name w:val="Grid Table 4 - Accent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2">
    <w:name w:val="Grid Table 4 - Accent 5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3">
    <w:name w:val="Grid Table 4 - Accent 6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4">
    <w:name w:val="Grid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8">
    <w:name w:val="Grid Table 5 Dark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1">
    <w:name w:val="Grid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2">
    <w:name w:val="Grid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3">
    <w:name w:val="Grid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4">
    <w:name w:val="Grid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5">
    <w:name w:val="Grid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6">
    <w:name w:val="Grid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3">
    <w:name w:val="List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4">
    <w:name w:val="List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5">
    <w:name w:val="List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6">
    <w:name w:val="List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7">
    <w:name w:val="List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8">
    <w:name w:val="List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9">
    <w:name w:val="List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1">
    <w:name w:val="List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2">
    <w:name w:val="List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List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4">
    <w:name w:val="List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List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6">
    <w:name w:val="List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7">
    <w:name w:val="List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8">
    <w:name w:val="List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9">
    <w:name w:val="List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0">
    <w:name w:val="List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1">
    <w:name w:val="List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2">
    <w:name w:val="List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3">
    <w:name w:val="List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4">
    <w:name w:val="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5">
    <w:name w:val="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6">
    <w:name w:val="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7">
    <w:name w:val="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8">
    <w:name w:val="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9">
    <w:name w:val="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0">
    <w:name w:val="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1">
    <w:name w:val="Bordered &amp; 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2">
    <w:name w:val="Bordered &amp; 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3">
    <w:name w:val="Bordered &amp; 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4">
    <w:name w:val="Bordered &amp; 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5">
    <w:name w:val="Bordered &amp; 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6">
    <w:name w:val="Bordered &amp; 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7">
    <w:name w:val="Bordered &amp; 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8">
    <w:name w:val="Bordered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9">
    <w:name w:val="Bordered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0">
    <w:name w:val="Bordered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1">
    <w:name w:val="Bordered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2">
    <w:name w:val="Bordered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3">
    <w:name w:val="Bordered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4">
    <w:name w:val="Bordered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5">
    <w:name w:val="Hyperlink"/>
    <w:uiPriority w:val="99"/>
    <w:unhideWhenUsed/>
    <w:rPr>
      <w:color w:val="0000ff" w:themeColor="hyperlink"/>
      <w:u w:val="single"/>
    </w:rPr>
  </w:style>
  <w:style w:type="paragraph" w:styleId="796">
    <w:name w:val="footnote text"/>
    <w:basedOn w:val="813"/>
    <w:link w:val="797"/>
    <w:uiPriority w:val="99"/>
    <w:semiHidden/>
    <w:unhideWhenUsed/>
    <w:pPr>
      <w:spacing w:after="40" w:line="240" w:lineRule="auto"/>
    </w:pPr>
    <w:rPr>
      <w:sz w:val="18"/>
    </w:rPr>
  </w:style>
  <w:style w:type="character" w:styleId="797">
    <w:name w:val="Footnote Text Char"/>
    <w:link w:val="796"/>
    <w:uiPriority w:val="99"/>
    <w:rPr>
      <w:sz w:val="18"/>
    </w:rPr>
  </w:style>
  <w:style w:type="character" w:styleId="798">
    <w:name w:val="footnote reference"/>
    <w:basedOn w:val="814"/>
    <w:uiPriority w:val="99"/>
    <w:unhideWhenUsed/>
    <w:rPr>
      <w:vertAlign w:val="superscript"/>
    </w:rPr>
  </w:style>
  <w:style w:type="paragraph" w:styleId="799">
    <w:name w:val="endnote text"/>
    <w:basedOn w:val="813"/>
    <w:link w:val="800"/>
    <w:uiPriority w:val="99"/>
    <w:semiHidden/>
    <w:unhideWhenUsed/>
    <w:pPr>
      <w:spacing w:after="0" w:line="240" w:lineRule="auto"/>
    </w:pPr>
    <w:rPr>
      <w:sz w:val="20"/>
    </w:rPr>
  </w:style>
  <w:style w:type="character" w:styleId="800">
    <w:name w:val="Endnote Text Char"/>
    <w:link w:val="799"/>
    <w:uiPriority w:val="99"/>
    <w:rPr>
      <w:sz w:val="20"/>
    </w:rPr>
  </w:style>
  <w:style w:type="character" w:styleId="801">
    <w:name w:val="endnote reference"/>
    <w:basedOn w:val="814"/>
    <w:uiPriority w:val="99"/>
    <w:semiHidden/>
    <w:unhideWhenUsed/>
    <w:rPr>
      <w:vertAlign w:val="superscript"/>
    </w:rPr>
  </w:style>
  <w:style w:type="paragraph" w:styleId="802">
    <w:name w:val="toc 1"/>
    <w:basedOn w:val="813"/>
    <w:next w:val="813"/>
    <w:uiPriority w:val="39"/>
    <w:unhideWhenUsed/>
    <w:pPr>
      <w:ind w:left="0" w:right="0" w:firstLine="0"/>
      <w:spacing w:after="57"/>
    </w:pPr>
  </w:style>
  <w:style w:type="paragraph" w:styleId="803">
    <w:name w:val="toc 2"/>
    <w:basedOn w:val="813"/>
    <w:next w:val="813"/>
    <w:uiPriority w:val="39"/>
    <w:unhideWhenUsed/>
    <w:pPr>
      <w:ind w:left="283" w:right="0" w:firstLine="0"/>
      <w:spacing w:after="57"/>
    </w:pPr>
  </w:style>
  <w:style w:type="paragraph" w:styleId="804">
    <w:name w:val="toc 3"/>
    <w:basedOn w:val="813"/>
    <w:next w:val="813"/>
    <w:uiPriority w:val="39"/>
    <w:unhideWhenUsed/>
    <w:pPr>
      <w:ind w:left="567" w:right="0" w:firstLine="0"/>
      <w:spacing w:after="57"/>
    </w:pPr>
  </w:style>
  <w:style w:type="paragraph" w:styleId="805">
    <w:name w:val="toc 4"/>
    <w:basedOn w:val="813"/>
    <w:next w:val="813"/>
    <w:uiPriority w:val="39"/>
    <w:unhideWhenUsed/>
    <w:pPr>
      <w:ind w:left="850" w:right="0" w:firstLine="0"/>
      <w:spacing w:after="57"/>
    </w:pPr>
  </w:style>
  <w:style w:type="paragraph" w:styleId="806">
    <w:name w:val="toc 5"/>
    <w:basedOn w:val="813"/>
    <w:next w:val="813"/>
    <w:uiPriority w:val="39"/>
    <w:unhideWhenUsed/>
    <w:pPr>
      <w:ind w:left="1134" w:right="0" w:firstLine="0"/>
      <w:spacing w:after="57"/>
    </w:pPr>
  </w:style>
  <w:style w:type="paragraph" w:styleId="807">
    <w:name w:val="toc 6"/>
    <w:basedOn w:val="813"/>
    <w:next w:val="813"/>
    <w:uiPriority w:val="39"/>
    <w:unhideWhenUsed/>
    <w:pPr>
      <w:ind w:left="1417" w:right="0" w:firstLine="0"/>
      <w:spacing w:after="57"/>
    </w:pPr>
  </w:style>
  <w:style w:type="paragraph" w:styleId="808">
    <w:name w:val="toc 7"/>
    <w:basedOn w:val="813"/>
    <w:next w:val="813"/>
    <w:uiPriority w:val="39"/>
    <w:unhideWhenUsed/>
    <w:pPr>
      <w:ind w:left="1701" w:right="0" w:firstLine="0"/>
      <w:spacing w:after="57"/>
    </w:pPr>
  </w:style>
  <w:style w:type="paragraph" w:styleId="809">
    <w:name w:val="toc 8"/>
    <w:basedOn w:val="813"/>
    <w:next w:val="813"/>
    <w:uiPriority w:val="39"/>
    <w:unhideWhenUsed/>
    <w:pPr>
      <w:ind w:left="1984" w:right="0" w:firstLine="0"/>
      <w:spacing w:after="57"/>
    </w:pPr>
  </w:style>
  <w:style w:type="paragraph" w:styleId="810">
    <w:name w:val="toc 9"/>
    <w:basedOn w:val="813"/>
    <w:next w:val="813"/>
    <w:uiPriority w:val="39"/>
    <w:unhideWhenUsed/>
    <w:pPr>
      <w:ind w:left="2268" w:right="0" w:firstLine="0"/>
      <w:spacing w:after="57"/>
    </w:pPr>
  </w:style>
  <w:style w:type="paragraph" w:styleId="811">
    <w:name w:val="TOC Heading"/>
    <w:uiPriority w:val="39"/>
    <w:unhideWhenUsed/>
  </w:style>
  <w:style w:type="paragraph" w:styleId="812">
    <w:name w:val="table of figures"/>
    <w:basedOn w:val="813"/>
    <w:next w:val="813"/>
    <w:uiPriority w:val="99"/>
    <w:unhideWhenUsed/>
    <w:pPr>
      <w:spacing w:after="0" w:afterAutospacing="0"/>
    </w:pPr>
  </w:style>
  <w:style w:type="paragraph" w:styleId="813" w:default="1">
    <w:name w:val="Normal"/>
    <w:uiPriority w:val="0"/>
    <w:qFormat/>
    <w:pPr>
      <w:ind w:left="0" w:right="0"/>
      <w:jc w:val="left"/>
      <w:spacing w:before="0" w:after="160" w:line="259" w:lineRule="auto"/>
    </w:pPr>
    <w:rPr>
      <w:rFonts w:ascii="Calibri" w:hAnsi="Calibri" w:eastAsia="Calibri" w:cs="Calibri"/>
      <w:sz w:val="22"/>
      <w:szCs w:val="22"/>
      <w:lang w:val="ru-RU" w:bidi="en-US"/>
    </w:rPr>
  </w:style>
  <w:style w:type="character" w:styleId="814" w:default="1">
    <w:name w:val="Default Paragraph Font"/>
    <w:uiPriority w:val="1"/>
    <w:semiHidden/>
    <w:unhideWhenUsed/>
    <w:rPr>
      <w:rFonts w:ascii="Calibri" w:hAnsi="Calibri" w:eastAsia="Calibri" w:cs="Calibri"/>
      <w:sz w:val="24"/>
      <w:szCs w:val="24"/>
      <w:lang w:val="ru-RU" w:bidi="ru-RU"/>
    </w:rPr>
  </w:style>
  <w:style w:type="table" w:styleId="815" w:default="1">
    <w:name w:val="Normal Table"/>
    <w:semiHidden/>
    <w:unhideWhenUsed/>
    <w:pPr>
      <w:ind w:left="0" w:right="0"/>
      <w:jc w:val="left"/>
      <w:spacing w:before="0" w:after="160" w:line="259" w:lineRule="auto"/>
    </w:pPr>
    <w:rPr>
      <w:rFonts w:ascii="Calibri" w:hAnsi="Calibri" w:eastAsia="Calibri" w:cs="Calibri"/>
      <w:sz w:val="22"/>
      <w:szCs w:val="22"/>
      <w:lang w:val="ru-RU" w:bidi="en-US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left w:w="108" w:type="dxa"/>
        <w:right w:w="108" w:type="dxa"/>
      </w:tblCellMar>
    </w:tblPr>
  </w:style>
  <w:style w:type="table" w:styleId="816">
    <w:name w:val="Table Grid"/>
    <w:basedOn w:val="815"/>
    <w:uiPriority w:val="39"/>
    <w:pPr>
      <w:ind w:left="0" w:right="0"/>
      <w:jc w:val="left"/>
      <w:spacing w:before="0" w:after="0" w:line="240" w:lineRule="auto"/>
    </w:pPr>
    <w:rPr>
      <w:rFonts w:ascii="Calibri" w:hAnsi="Calibri" w:eastAsia="Calibri" w:cs="Calibri"/>
      <w:sz w:val="22"/>
      <w:szCs w:val="22"/>
      <w:lang w:val="ru-RU" w:bidi="en-US"/>
    </w:rPr>
    <w:tblPr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left w:w="108" w:type="dxa"/>
        <w:right w:w="108" w:type="dxa"/>
      </w:tblCellMar>
    </w:tblPr>
  </w:style>
  <w:style w:type="paragraph" w:styleId="817">
    <w:name w:val="ConsPlusTitle"/>
    <w:uiPriority w:val="0"/>
    <w:pPr>
      <w:ind w:left="0" w:right="0"/>
      <w:jc w:val="left"/>
      <w:spacing w:before="0" w:after="0" w:line="240" w:lineRule="auto"/>
    </w:pPr>
    <w:rPr>
      <w:rFonts w:ascii="Calibri" w:hAnsi="Calibri" w:eastAsia="Calibri" w:cs="Calibri"/>
      <w:b/>
      <w:bCs/>
      <w:sz w:val="22"/>
      <w:szCs w:val="22"/>
      <w:lang w:val="ru-RU" w:bidi="ru-RU"/>
    </w:rPr>
  </w:style>
  <w:style w:type="paragraph" w:styleId="818">
    <w:name w:val="Balloon Text"/>
    <w:basedOn w:val="813"/>
    <w:semiHidden/>
    <w:unhideWhenUsed/>
    <w:pPr>
      <w:ind w:left="0" w:right="0"/>
      <w:jc w:val="left"/>
      <w:spacing w:before="0" w:after="0" w:line="240" w:lineRule="auto"/>
    </w:pPr>
    <w:rPr>
      <w:rFonts w:ascii="Segoe UI" w:hAnsi="Segoe UI" w:eastAsia="Segoe UI" w:cs="Segoe UI"/>
      <w:sz w:val="18"/>
      <w:szCs w:val="18"/>
      <w:lang w:val="ru-RU" w:bidi="en-US"/>
    </w:rPr>
  </w:style>
  <w:style w:type="character" w:styleId="819">
    <w:name w:val="Текст выноски Знак"/>
    <w:basedOn w:val="814"/>
    <w:semiHidden/>
    <w:rPr>
      <w:rFonts w:ascii="Segoe UI" w:hAnsi="Segoe UI" w:eastAsia="Segoe UI" w:cs="Segoe UI"/>
      <w:sz w:val="18"/>
      <w:szCs w:val="18"/>
      <w:lang w:val="ru-RU" w:bidi="ru-RU"/>
    </w:rPr>
  </w:style>
  <w:style w:type="numbering" w:styleId="8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Александровна Перминова</dc:creator>
  <cp:revision>2</cp:revision>
  <dcterms:modified xsi:type="dcterms:W3CDTF">2026-04-23T09:14:33Z</dcterms:modified>
</cp:coreProperties>
</file>