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hd w:val="clear" w:color="auto" w:fill="ffffff"/>
      </w:pPr>
      <w:r>
        <w:rPr>
          <w:rFonts w:ascii="PT Astra Serif" w:hAnsi="PT Astra Serif"/>
          <w:b/>
          <w:sz w:val="26"/>
          <w:szCs w:val="26"/>
        </w:rPr>
        <w:t xml:space="preserve">Информация о реализации государственной программы </w:t>
      </w:r>
      <w:r>
        <w:rPr>
          <w:rFonts w:ascii="PT Astra Serif" w:hAnsi="PT Astra Serif"/>
          <w:b/>
          <w:sz w:val="26"/>
          <w:szCs w:val="26"/>
        </w:rPr>
        <w:br/>
      </w:r>
      <w:r>
        <w:rPr>
          <w:rFonts w:ascii="PT Astra Serif" w:hAnsi="PT Astra Serif"/>
          <w:b/>
          <w:sz w:val="26"/>
          <w:szCs w:val="26"/>
        </w:rPr>
        <w:t xml:space="preserve">«Улучшение инвестиционного климата и развитие экспорта Томской области» </w:t>
      </w:r>
      <w:r>
        <w:rPr>
          <w:rFonts w:ascii="PT Astra Serif" w:hAnsi="PT Astra Serif"/>
          <w:b/>
          <w:sz w:val="26"/>
          <w:szCs w:val="26"/>
        </w:rPr>
        <w:br/>
      </w:r>
      <w:r>
        <w:rPr>
          <w:rFonts w:ascii="PT Astra Serif" w:hAnsi="PT Astra Serif"/>
          <w:b/>
          <w:sz w:val="26"/>
          <w:szCs w:val="26"/>
        </w:rPr>
        <w:t xml:space="preserve">за 202</w:t>
      </w:r>
      <w:r>
        <w:rPr>
          <w:rFonts w:ascii="PT Astra Serif" w:hAnsi="PT Astra Serif"/>
          <w:b/>
          <w:sz w:val="26"/>
          <w:szCs w:val="26"/>
        </w:rPr>
        <w:t xml:space="preserve">5 год</w:t>
      </w:r>
      <w:r/>
      <w:r/>
    </w:p>
    <w:p>
      <w:pPr>
        <w:ind w:firstLine="709"/>
        <w:jc w:val="center"/>
        <w:shd w:val="clear" w:color="auto" w:fill="ffffff"/>
      </w:pPr>
      <w:r>
        <w:rPr>
          <w:rFonts w:ascii="PT Astra Serif" w:hAnsi="PT Astra Serif"/>
          <w:b/>
          <w:sz w:val="26"/>
          <w:szCs w:val="26"/>
        </w:rPr>
      </w:r>
      <w:r/>
      <w:r/>
    </w:p>
    <w:p>
      <w:pPr>
        <w:ind w:firstLine="709"/>
        <w:jc w:val="both"/>
        <w:shd w:val="clear" w:color="auto" w:fill="ffffff"/>
      </w:pPr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Г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осударственн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ая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программ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а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Улучшение инвестиционного климата и развитие экспорта Томской области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утвержденн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ая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постановлением Администрации Томской области от 26.09.2019 № 339а (да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лее –Государственная программа)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направлена на решение задачи 1.4 «Обеспечить улучшение инвестиционного климата и повышение качества государственного регулирования, содействовать укреплению международных и межрегиональных связей в Томской области»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цели 1 «Реализация модели интенсивного развития, включая развитие высокотехнологичных производств на основе потенциала научно-образовательного комплекса, создание условий для инвестиций, развитие предпринимательства»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Стратегии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социально-экономического развития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Томской области до 2030 года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.</w:t>
      </w:r>
      <w:r/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Подпрограмма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1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Формирование благоприятного инвестиционного климата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на территории Томской области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Государственной программы (далее - Подпрограмма 1)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реализовывалась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посредством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комплекса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процессных мероприятий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Повышение инвестиционной привлекательности Томской области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в том числе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осуществлялись следующие мероприятия:</w:t>
      </w:r>
      <w:r/>
    </w:p>
    <w:p>
      <w:pPr>
        <w:pStyle w:val="704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1) организация аудита сведений, предоставляемых инвесторами при получении государственной поддержки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Проведена аудиторская проверка по оценке достоверности сведений, предоставляемых инвесторами при получении государственной поддержки, в отношении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3 организаций: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Компания Эскимос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Томфрезер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НПО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Сибэлектромотор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</w:t>
      </w:r>
      <w:r/>
    </w:p>
    <w:p>
      <w:pPr>
        <w:pStyle w:val="704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2) возмещение части затрат в связи с производством (реализацией) товаров, выполнением работ, оказанием услуг в рамках реализации инвестиционных проектов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Поддержка в форме субсидий предоставлена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Посейдон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Луквис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Инженер-Центр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ТМФ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Томфрезер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СЭТК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Компания Эскимос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Неотехника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Фаворит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АО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ТГОК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Ильменит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МСТ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Континент-Сервис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Фирма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Биоветсервис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ООО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НПО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Сибэлектромотор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</w:t>
      </w:r>
      <w:r/>
    </w:p>
    <w:p>
      <w:pPr>
        <w:pStyle w:val="704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При этом государственная поддержка впервые предоставлена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по 4 инвестиционным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проект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ам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:</w:t>
      </w:r>
      <w:r/>
    </w:p>
    <w:p>
      <w:pPr>
        <w:pStyle w:val="704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«Техническое перевооружение и модернизация ООО «МСТ»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(с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убсидии предоставлены в целях возмещения части затрат по уплате лизинговых платежей по договорам финансовой аренды (лизинга), предполагающих использование и последующее приобретение следующих станков: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автомат токарный продольного точения с ЧПУ, модели XD10;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вертикально-фрезерный станок с ЧПУ по металлу, модели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Abamet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VF-2SM;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станок электроэрозионный проволочно-вырезной, модели DK7763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); </w:t>
      </w:r>
      <w:r/>
    </w:p>
    <w:p>
      <w:pPr>
        <w:pStyle w:val="704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«Техническое перевооружение и модернизация ООО 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Неотехника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(с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убсидии предоставлены в целях возмещения части затрат по уплате лизинговых платежей по договорам финансовой аренды (лизинга), предполагающих использование и последующее приобретение следующих станков: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аппарат лазерный сварочный мобильный VS-LW2000M с устройством подачи проволоки WF- 007; дозирующий робот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Asgard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R20; аппарат конденсаторной приварки шпилек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Foxweld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SW2500, М3-М8, 3094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);</w:t>
      </w:r>
      <w:r/>
    </w:p>
    <w:p>
      <w:pPr>
        <w:pStyle w:val="704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«Техническое перевооружение и модернизация ООО «ИНЖЕНЕР ЦЕНТР».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(с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убсидии предоставлены в целях возмещения части затрат по уплате лизинговых платежей по договорам финансовой аренды (лизинга), предполагающих использование и последующее приобретение следующих станков: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станок металлообрабатывающий, токарный с числовым программным управлением, модели ТСК40 WEIDA;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вертикальный обрабатывающий центр WEIDA, VMC855S;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фрезерный станок с ЧПУ US WHEELER DT800 в комплектации с вентиляционно-аспирационной установкой ВИНЦ КАМА-300М;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вертикально-фрезерный обрабатывающий центр с ЧПУ WEIDA, VMC 855 Вертикально-фрезерный;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фрезерный станок с ЧПУ EM800A;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токарный станок с ЧПУ С400К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);</w:t>
      </w:r>
      <w:r/>
    </w:p>
    <w:p>
      <w:pPr>
        <w:pStyle w:val="704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«Техническое перевооружение и модернизация ООО «Посейдон» (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субсидии предоставлены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в целях возмещения части затрат по уплате процентов по кредитному договору на приобретение коммерческой недвижимости для организации работы детского плавательного центра 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Дельфинчик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)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</w:t>
      </w:r>
      <w:r/>
    </w:p>
    <w:p>
      <w:pPr>
        <w:pStyle w:val="704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3) информационное обеспечение субъектов инвестиционной деятельности и потенциальных инвесторов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в рамках которого осуществлено активное продвижение Инвестиционного портала Томской области в сети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Интернет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Количество посетителей портала в 202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5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году составило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74451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человек.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Актуализирована информация в разделах портала, создан новый раздел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инвестиционное предложение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к котором размещены информационные материалы с использованием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инфографики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 </w:t>
      </w:r>
      <w:r/>
    </w:p>
    <w:p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4) обеспечение благоприятного инвестиционного климата в Томской области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Разработаны и изготовлены информационные буклеты, содержащие информацию о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б инвестиционной деятельности, инвестиционном потенциале и инвестиционных площадках Томской области. Проведены рекламные кампании по вопросам улучшения инвестиционного климата. Размещена реклама об инвестиционном потенциале Томской области на экранах в МФЦ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</w:t>
      </w:r>
      <w:r/>
    </w:p>
    <w:p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5) предоставление субсидий автономной некоммерческой организации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Агентство инвестиционного развития Томской области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в целях улучшения состояния инвестиционного климата в Томской области, в том числе обеспечения деятельности автономной некоммерческой организации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В ходе реализации мероприятий достигнуты следующие значения показателей цели и задачи Подпрограммы 1 на 202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5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год: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нтегральный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индекс Томской области в Национальном рейтинге состоян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ия инвестиционного климата в субъектах Российской Федерации (далее - Рейтинг) составил 66,41 балла (+2,52 балла). Регион занял 22 место среди 85 субъектов Российской Федерации, распределенных по 46 местам. Среди регионов СФО Томская область заняла 4 место.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Высокие оценки получены по показателям, характеризующим работу инвестиционн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ого комитета Томской области, канала прямой связи инвесторов с руководством региона, эффективность процедур по постановке земельных участков на кадастровый учет, уровень административного давления на бизнес, качество объектов инвестиционной инфраструктуры.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Низкие значения при оценке показателей рейтинга получены по про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цедурам выдачи разрешения на строительство, подключения к инженерной инфраструктуре, получения земельных участков в аренду (с проведением торгов), а также по показателям, характеризующим качество дорожных сетей и доступность мер государственной поддержки.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- рейтинговая позиция Томской области по оценке инвестиционной привлекательности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сохранилась в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группе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(н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изкий уровень инвестиционной привлекательности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)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 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Подпрограмма 2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Укрепление международных и региональных связей Томской области и привлечение лучшей мировой практики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(далее – Подпрограмма 2) Государственной программы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реализовывалась посредством комплекса процессных мероприятий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Развитие внешних связей Томской области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в том числе осуществлялись следующие мероприятия: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  <w:lang w:val="en-US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1) организация и проведение презентационных, выставочных и иных мероприятий за пределами Томской области: </w:t>
      </w:r>
      <w:r/>
    </w:p>
    <w:p>
      <w:pPr>
        <w:ind w:firstLine="709"/>
        <w:jc w:val="both"/>
        <w:widowControl w:val="off"/>
        <w:rPr>
          <w:rFonts w:ascii="PT Astra Serif" w:hAnsi="PT Astra Serif"/>
          <w:bCs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</w:t>
      </w:r>
      <w:r>
        <w:rPr>
          <w:rFonts w:ascii="PT Astra Serif" w:hAnsi="PT Astra Serif"/>
          <w:i/>
          <w:iCs/>
          <w:color w:val="000000" w:themeColor="text1"/>
          <w:sz w:val="26"/>
          <w:szCs w:val="26"/>
        </w:rPr>
        <w:t xml:space="preserve">организован визит делегации региона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: 1) во главе с Губернат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ором Томской области в Республику Индонезия для участия в 13-м заседании Российско-Индонезийской Совместной комиссии по торгово-экономическому и техническому сотрудничеству и официальных встреч с государственными структурами и образовательными учреждениями</w:t>
      </w:r>
      <w:r>
        <w:rPr>
          <w:rFonts w:ascii="PT Astra Serif" w:hAnsi="PT Astra Serif"/>
          <w:bCs/>
          <w:color w:val="000000" w:themeColor="text1"/>
          <w:sz w:val="26"/>
          <w:szCs w:val="26"/>
        </w:rPr>
        <w:t xml:space="preserve">;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2) во главе с председателем Законодательной Думы Томской области О.В. Козловской и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зам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.Г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убернатора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Томской области Н.А. Киселевой делегация посетила провинцию Ляонин участия в заседании 15-о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й Генеральной Ассамблеи Ассоциации стран Северо-Восточной Азии и международной конференции городов-побратимов провинции Ляонин, а также проведения переговоров, направленных на укрепление сотрудничества в экономической, образовательной и культурной сферах;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3) во главе зам. Начальника Департамента по социально-экономическому развитию села Томской области А.В. Савенко делегация посетила Киргизскую Республику (г. Бишкек, г. Балыкчи, г.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Чолпон-Ата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) с целью проведения официальных встреч и посещения предприятий в Бишкеке Иссык-Кульской области (визит стал первым в рамках реализации соглашения о сотрудничестве между Томской и Иссык-Кульской областями).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i/>
          <w:iCs/>
          <w:color w:val="000000" w:themeColor="text1"/>
          <w:sz w:val="26"/>
          <w:szCs w:val="26"/>
        </w:rPr>
        <w:t xml:space="preserve">Также делегации Томской области приняли участие в двух международных выставках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– 4) Международная выставка продуктов питания SIAL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Shenzhen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2025, проходившей в г.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Шэньчжэнь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(провинция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Гуандун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КНР), и 5) Международная промышленная выставка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ИННОПРОМ.Беларусь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Кроме того, в ходе визита в Республи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ку Беларусь для участия в выставке состоялось VI заседание Рабочей группы по сотрудничеству Республики Беларусь и Томской области под председательством Губернатора Томской области и министра природных ресурсов и охраны окружающей среды Республики Беларусь.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2) организация и проведение приемов, презентационных, выставочных и иных мероприятий, организованных на территории Томской области: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</w:t>
      </w:r>
      <w:r>
        <w:rPr>
          <w:rFonts w:ascii="PT Astra Serif" w:hAnsi="PT Astra Serif"/>
          <w:i/>
          <w:iCs/>
          <w:color w:val="000000" w:themeColor="text1"/>
          <w:sz w:val="26"/>
          <w:szCs w:val="26"/>
        </w:rPr>
        <w:t xml:space="preserve">организованы в формате ВКС: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1) встреча с главным исполнительным директором Центра исследований и инноваций Хайдарабада г-жой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Рашми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Пимпале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и зам. Губернатора Томской области Л.М.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Огородовой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с целью обсуждения направлений сотрудничества;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2)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вебинар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посвящённый перспективам сотрудничества томского бизнеса с провинцией Ляонин, где одним из ключевых докладчиков стал заместитель руководителя российского офиса Индустриального парка Китайско-Российского торгово-экономического сотрудничества города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Шэньяна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Сун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Хунъю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 3) онлайн встреча зам. Губернатора В.В. Потёмкина и Л.М.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Огородовой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с Чрезвычайным и Полномочным Послом Республики Индонезии в России;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о</w:t>
      </w:r>
      <w:r>
        <w:rPr>
          <w:rFonts w:ascii="PT Astra Serif" w:hAnsi="PT Astra Serif"/>
          <w:i/>
          <w:iCs/>
          <w:color w:val="000000" w:themeColor="text1"/>
          <w:sz w:val="26"/>
          <w:szCs w:val="26"/>
        </w:rPr>
        <w:t xml:space="preserve">рганизованы визиты иностранных делегаций в Томскую область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: 1) визит делегации Департамента коммерции г. Ухань с представителями Администрации Томской области; 2) встреча губернатора Томской области В.В.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Мазура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с руководителями консульских представительств Республики Узбекистан, Республики Казахстан, Киргизской Республики и Республики Таджикистан в Сибирском федеральном округе; </w:t>
      </w:r>
      <w:r>
        <w:rPr>
          <w:rFonts w:ascii="PT Astra Serif" w:hAnsi="PT Astra Serif"/>
          <w:color w:val="000000" w:themeColor="text1"/>
          <w:sz w:val="26"/>
          <w:szCs w:val="26"/>
        </w:rPr>
        <w:br/>
        <w:t xml:space="preserve">3) визит делегации Павлодарской области Республики Казахстан во главе с председателем областного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маслихата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Ильей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Теренченко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и заместителем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акима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Айгуль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Маликовой; </w:t>
      </w:r>
      <w:r>
        <w:rPr>
          <w:rFonts w:ascii="PT Astra Serif" w:hAnsi="PT Astra Serif"/>
          <w:color w:val="000000" w:themeColor="text1"/>
          <w:sz w:val="26"/>
          <w:szCs w:val="26"/>
        </w:rPr>
        <w:br/>
        <w:t xml:space="preserve">4) визит делегации компании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Beijing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Ruoxi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Trading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Co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.,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Ltd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(Китай) Зырянского района Томской области; 5) встреча представителей томского бизнес-сообщества с экспертом по международному бизнес-сотрудничеству Республики Узбекистан, директором Центра исследовательских инициатив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Ma`no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Бахтиёром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Эргашевым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 6) визит делегации Сырдарьинской области Республики Узбекистан во главе с заместителем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хокима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Ш.Н.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Исакуловым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 7) визит представителей Посольства Индии в России и Культурного центра им.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Джавахарлала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Неру, возглавляемый Заместителем главы дипломатической миссии Посольства Индии в России г-ном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Никхилешем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Чандра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Гири, с целью проведения Дней культуры Индии в Томске; 8) визит делегации политической партии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Голкар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Республики Индонезии во главе с руководителем Управления по международным связям и внешней политике г-ном Али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Мохтаром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Нгабалином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 9) визит делегации Национальной академии наук Беларуси.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3) привлечение лучшей зарубежной и российской практики и экспертизы: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 состоялось расширенное заседание Совета по развитию экспорта региона, где прошел мастер-класс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Вопросы сертификации и регистрации товаров в Китае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который провела Виктория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Цыдымпилова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 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прошел тренинг для студентов томских вузов от ведущих экспертов в сфере ВЭД об особенностях и инструментах анализа целевых рынков, методах продвижения продукции, современных логистических системах и элементах международной цепи поставок.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4) поддержка соотечественников и продвижение русского языка и культуры:</w:t>
      </w:r>
      <w:r/>
    </w:p>
    <w:p>
      <w:pPr>
        <w:contextualSpacing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  26 учителей русского языка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Увс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аймака Монголии прошли онлайн-семинары (10 академических часов) по русскому языку;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 организован Международный литературный фестиваль-конкурс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Устами детей говорит мир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с привлечением члена жюри из Беларуси;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5) подготовка и распространение информационных и презентационных материалов о Томской области и сувенирной продукции: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актуализированы презентационные материалы для представления Томской области;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организовано изготовление и распространение презентационной и сувенирной продукции;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6) участие Томской области в деятельности Межрегиональной ассоциации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Сибирское соглашение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: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уплачен членский взнос в Межрегиональную ассоциацию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Сибирское соглашение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на операционную деятельность. 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7) поддержка экспортной деятельности субъектов малого и среднего предпринимательства.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В ходе реализации мероприятий достигнуты следующие значения показателей цели и задачи Подпрограммы 2 на 2025 год: 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количество проведенных мероприятий, направленных на формирование благоприятного имиджа и повышение конкурентных преимуществ Томской области – </w:t>
      </w:r>
      <w:r>
        <w:rPr>
          <w:rFonts w:ascii="PT Astra Serif" w:hAnsi="PT Astra Serif"/>
          <w:color w:val="000000" w:themeColor="text1"/>
          <w:sz w:val="26"/>
          <w:szCs w:val="26"/>
        </w:rPr>
        <w:br/>
        <w:t xml:space="preserve">21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ед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количество подписанных соглашений, меморандумов, протоколов </w:t>
      </w:r>
      <w:r>
        <w:rPr>
          <w:rFonts w:ascii="PT Astra Serif" w:hAnsi="PT Astra Serif"/>
          <w:color w:val="000000" w:themeColor="text1"/>
          <w:sz w:val="26"/>
          <w:szCs w:val="26"/>
        </w:rPr>
        <w:br/>
        <w:t xml:space="preserve">о сотрудничестве между Администрацией Томской области и российскими и зарубежными партнерами – 5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ед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</w:t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количество международных мероприятий по продвижению товаров, работ, услуг экспортно ориентированных субъектов малого и среднего предпринимательства – 10 ед.</w:t>
      </w:r>
      <w:r/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851" w:right="680" w:bottom="680" w:left="1134" w:header="567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Calibri">
    <w:panose1 w:val="020F0502020204030204"/>
  </w:font>
  <w:font w:name="Verdana">
    <w:panose1 w:val="020B060403050404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276983347"/>
      <w:docPartObj>
        <w:docPartGallery w:val="Page Numbers (Top of Page)"/>
        <w:docPartUnique w:val="true"/>
      </w:docPartObj>
      <w:rPr/>
    </w:sdtPr>
    <w:sdtContent>
      <w:p>
        <w:pPr>
          <w:pStyle w:val="683"/>
          <w:spacing w:before="0" w:after="0"/>
          <w:rPr>
            <w:rFonts w:ascii="PT Astra Serif" w:hAnsi="PT Astra Serif"/>
            <w:b w:val="0"/>
            <w:sz w:val="26"/>
            <w:szCs w:val="26"/>
          </w:rPr>
        </w:pPr>
        <w:r>
          <w:rPr>
            <w:rFonts w:ascii="PT Astra Serif" w:hAnsi="PT Astra Serif"/>
            <w:b w:val="0"/>
            <w:sz w:val="26"/>
            <w:szCs w:val="26"/>
          </w:rPr>
          <w:fldChar w:fldCharType="begin"/>
        </w:r>
        <w:r>
          <w:rPr>
            <w:rFonts w:ascii="PT Astra Serif" w:hAnsi="PT Astra Serif"/>
            <w:b w:val="0"/>
            <w:sz w:val="26"/>
            <w:szCs w:val="26"/>
          </w:rPr>
          <w:instrText xml:space="preserve">PAGE   \* MERGEFORMAT</w:instrText>
        </w:r>
        <w:r>
          <w:rPr>
            <w:rFonts w:ascii="PT Astra Serif" w:hAnsi="PT Astra Serif"/>
            <w:b w:val="0"/>
            <w:sz w:val="26"/>
            <w:szCs w:val="26"/>
          </w:rPr>
          <w:fldChar w:fldCharType="separate"/>
        </w:r>
        <w:r>
          <w:rPr>
            <w:rFonts w:ascii="PT Astra Serif" w:hAnsi="PT Astra Serif"/>
            <w:b w:val="0"/>
            <w:sz w:val="26"/>
            <w:szCs w:val="26"/>
          </w:rPr>
          <w:t xml:space="preserve">9</w:t>
        </w:r>
        <w:r>
          <w:rPr>
            <w:rFonts w:ascii="PT Astra Serif" w:hAnsi="PT Astra Serif"/>
            <w:b w:val="0"/>
            <w:sz w:val="26"/>
            <w:szCs w:val="26"/>
          </w:rPr>
          <w:fldChar w:fldCharType="end"/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3"/>
      <w:rPr>
        <w:rStyle w:val="685"/>
      </w:rPr>
      <w:framePr w:wrap="around" w:vAnchor="text" w:hAnchor="margin" w:xAlign="center" w:y="1"/>
    </w:pPr>
    <w:r>
      <w:rPr>
        <w:rStyle w:val="685"/>
      </w:rPr>
      <w:fldChar w:fldCharType="begin"/>
    </w:r>
    <w:r>
      <w:rPr>
        <w:rStyle w:val="685"/>
      </w:rPr>
      <w:instrText xml:space="preserve">PAGE  </w:instrText>
    </w:r>
    <w:r>
      <w:rPr>
        <w:rStyle w:val="685"/>
      </w:rPr>
      <w:fldChar w:fldCharType="end"/>
    </w:r>
    <w:r/>
  </w:p>
  <w:p>
    <w:pPr>
      <w:pStyle w:val="68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 w:edit="trackedChanges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0"/>
    <w:link w:val="679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8"/>
    <w:next w:val="67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8"/>
    <w:next w:val="67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8"/>
    <w:next w:val="67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8"/>
    <w:next w:val="67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8"/>
    <w:next w:val="67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8"/>
    <w:next w:val="67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8"/>
    <w:next w:val="67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8"/>
    <w:next w:val="67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78"/>
    <w:next w:val="67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0"/>
    <w:link w:val="34"/>
    <w:uiPriority w:val="10"/>
    <w:rPr>
      <w:sz w:val="48"/>
      <w:szCs w:val="48"/>
    </w:rPr>
  </w:style>
  <w:style w:type="paragraph" w:styleId="36">
    <w:name w:val="Subtitle"/>
    <w:basedOn w:val="678"/>
    <w:next w:val="67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0"/>
    <w:link w:val="36"/>
    <w:uiPriority w:val="11"/>
    <w:rPr>
      <w:sz w:val="24"/>
      <w:szCs w:val="24"/>
    </w:rPr>
  </w:style>
  <w:style w:type="paragraph" w:styleId="38">
    <w:name w:val="Quote"/>
    <w:basedOn w:val="678"/>
    <w:next w:val="67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8"/>
    <w:next w:val="67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0"/>
    <w:link w:val="683"/>
    <w:uiPriority w:val="99"/>
  </w:style>
  <w:style w:type="character" w:styleId="45">
    <w:name w:val="Footer Char"/>
    <w:basedOn w:val="680"/>
    <w:link w:val="692"/>
    <w:uiPriority w:val="99"/>
  </w:style>
  <w:style w:type="paragraph" w:styleId="46">
    <w:name w:val="Caption"/>
    <w:basedOn w:val="678"/>
    <w:next w:val="6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2"/>
    <w:uiPriority w:val="99"/>
  </w:style>
  <w:style w:type="table" w:styleId="49">
    <w:name w:val="Table Grid Light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paragraph" w:styleId="178">
    <w:name w:val="endnote text"/>
    <w:basedOn w:val="67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0"/>
    <w:uiPriority w:val="99"/>
    <w:semiHidden/>
    <w:unhideWhenUsed/>
    <w:rPr>
      <w:vertAlign w:val="superscript"/>
    </w:rPr>
  </w:style>
  <w:style w:type="paragraph" w:styleId="181">
    <w:name w:val="toc 1"/>
    <w:basedOn w:val="678"/>
    <w:next w:val="67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8"/>
    <w:next w:val="67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8"/>
    <w:next w:val="67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8"/>
    <w:next w:val="67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8"/>
    <w:next w:val="67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8"/>
    <w:next w:val="67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8"/>
    <w:next w:val="67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8"/>
    <w:next w:val="67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8"/>
    <w:next w:val="67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8"/>
    <w:next w:val="678"/>
    <w:uiPriority w:val="99"/>
    <w:unhideWhenUsed/>
    <w:pPr>
      <w:spacing w:after="0" w:afterAutospacing="0"/>
    </w:pPr>
  </w:style>
  <w:style w:type="paragraph" w:styleId="67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79">
    <w:name w:val="Heading 1"/>
    <w:basedOn w:val="678"/>
    <w:link w:val="698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character" w:styleId="680" w:default="1">
    <w:name w:val="Default Paragraph Font"/>
    <w:uiPriority w:val="1"/>
    <w:semiHidden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paragraph" w:styleId="683">
    <w:name w:val="Header"/>
    <w:basedOn w:val="678"/>
    <w:link w:val="684"/>
    <w:uiPriority w:val="99"/>
    <w:pPr>
      <w:ind w:firstLine="709"/>
      <w:jc w:val="center"/>
      <w:spacing w:before="120" w:after="240"/>
      <w:tabs>
        <w:tab w:val="center" w:pos="4153" w:leader="none"/>
        <w:tab w:val="right" w:pos="8306" w:leader="none"/>
      </w:tabs>
    </w:pPr>
    <w:rPr>
      <w:b/>
      <w:caps/>
      <w:sz w:val="28"/>
    </w:rPr>
  </w:style>
  <w:style w:type="character" w:styleId="684" w:customStyle="1">
    <w:name w:val="Верхний колонтитул Знак"/>
    <w:basedOn w:val="680"/>
    <w:link w:val="683"/>
    <w:uiPriority w:val="99"/>
    <w:rPr>
      <w:rFonts w:ascii="Times New Roman" w:hAnsi="Times New Roman" w:eastAsia="Times New Roman" w:cs="Times New Roman"/>
      <w:b/>
      <w:caps/>
      <w:sz w:val="28"/>
      <w:szCs w:val="20"/>
      <w:lang w:eastAsia="ru-RU"/>
    </w:rPr>
  </w:style>
  <w:style w:type="character" w:styleId="685">
    <w:name w:val="page number"/>
    <w:basedOn w:val="680"/>
  </w:style>
  <w:style w:type="paragraph" w:styleId="686" w:customStyle="1">
    <w:name w:val="Обращение"/>
    <w:basedOn w:val="678"/>
    <w:next w:val="678"/>
    <w:pPr>
      <w:jc w:val="center"/>
      <w:spacing w:before="240" w:after="120"/>
    </w:pPr>
    <w:rPr>
      <w:b/>
      <w:sz w:val="26"/>
    </w:rPr>
  </w:style>
  <w:style w:type="character" w:styleId="687">
    <w:name w:val="Hyperlink"/>
    <w:rPr>
      <w:rFonts w:cs="Times New Roman"/>
      <w:color w:val="0000ff"/>
      <w:u w:val="single"/>
    </w:rPr>
  </w:style>
  <w:style w:type="paragraph" w:styleId="688" w:customStyle="1">
    <w:name w:val="Исполнитель"/>
    <w:basedOn w:val="678"/>
    <w:pPr>
      <w:ind w:firstLine="709"/>
      <w:jc w:val="both"/>
      <w:spacing w:before="120"/>
      <w:pBdr>
        <w:bottom w:val="none" w:color="000000" w:sz="4" w:space="1"/>
      </w:pBdr>
    </w:pPr>
    <w:rPr>
      <w:sz w:val="26"/>
      <w:szCs w:val="26"/>
    </w:rPr>
  </w:style>
  <w:style w:type="paragraph" w:styleId="689" w:customStyle="1">
    <w:name w:val="Знак"/>
    <w:basedOn w:val="678"/>
    <w:pPr>
      <w:spacing w:after="160" w:line="240" w:lineRule="exact"/>
    </w:pPr>
    <w:rPr>
      <w:rFonts w:ascii="Verdana" w:hAnsi="Verdana"/>
      <w:lang w:val="en-US" w:eastAsia="en-US"/>
    </w:rPr>
  </w:style>
  <w:style w:type="paragraph" w:styleId="690" w:customStyle="1">
    <w:name w:val="ConsPlusNormal"/>
    <w:link w:val="700"/>
    <w:qFormat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table" w:styleId="691">
    <w:name w:val="Table Grid"/>
    <w:basedOn w:val="681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2">
    <w:name w:val="Footer"/>
    <w:basedOn w:val="678"/>
    <w:link w:val="6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3" w:customStyle="1">
    <w:name w:val="Нижний колонтитул Знак"/>
    <w:basedOn w:val="680"/>
    <w:link w:val="69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94">
    <w:name w:val="Balloon Text"/>
    <w:basedOn w:val="678"/>
    <w:link w:val="69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95" w:customStyle="1">
    <w:name w:val="Текст выноски Знак"/>
    <w:basedOn w:val="680"/>
    <w:link w:val="694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696" w:customStyle="1">
    <w:name w:val="ConsPlusTextList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697">
    <w:name w:val="footnote reference"/>
    <w:basedOn w:val="680"/>
    <w:uiPriority w:val="99"/>
    <w:semiHidden/>
    <w:unhideWhenUsed/>
    <w:rPr>
      <w:vertAlign w:val="superscript"/>
    </w:rPr>
  </w:style>
  <w:style w:type="character" w:styleId="698" w:customStyle="1">
    <w:name w:val="Заголовок 1 Знак"/>
    <w:basedOn w:val="680"/>
    <w:link w:val="679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99">
    <w:name w:val="Strong"/>
    <w:basedOn w:val="680"/>
    <w:uiPriority w:val="22"/>
    <w:qFormat/>
    <w:rPr>
      <w:b/>
      <w:bCs/>
    </w:rPr>
  </w:style>
  <w:style w:type="character" w:styleId="700" w:customStyle="1">
    <w:name w:val="ConsPlusNormal Знак"/>
    <w:link w:val="690"/>
    <w:rPr>
      <w:rFonts w:ascii="Calibri" w:hAnsi="Calibri" w:eastAsia="Times New Roman" w:cs="Calibri"/>
      <w:szCs w:val="20"/>
      <w:lang w:eastAsia="ru-RU"/>
    </w:rPr>
  </w:style>
  <w:style w:type="paragraph" w:styleId="701">
    <w:name w:val="List Paragraph"/>
    <w:basedOn w:val="678"/>
    <w:link w:val="706"/>
    <w:uiPriority w:val="34"/>
    <w:qFormat/>
    <w:pPr>
      <w:ind w:left="720"/>
    </w:pPr>
    <w:rPr>
      <w:rFonts w:ascii="Calibri" w:hAnsi="Calibri" w:eastAsia="Calibri" w:cs="Calibri"/>
      <w:sz w:val="22"/>
      <w:szCs w:val="22"/>
      <w:lang w:eastAsia="en-US"/>
    </w:rPr>
  </w:style>
  <w:style w:type="character" w:styleId="702">
    <w:name w:val="Emphasis"/>
    <w:basedOn w:val="680"/>
    <w:uiPriority w:val="20"/>
    <w:qFormat/>
    <w:rPr>
      <w:i/>
      <w:iCs/>
    </w:rPr>
  </w:style>
  <w:style w:type="paragraph" w:styleId="703" w:customStyle="1">
    <w:name w:val="Default"/>
    <w:pPr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704">
    <w:name w:val="No Spacing"/>
    <w:uiPriority w:val="1"/>
    <w:qFormat/>
    <w:pPr>
      <w:spacing w:after="0" w:line="240" w:lineRule="auto"/>
    </w:pPr>
  </w:style>
  <w:style w:type="paragraph" w:styleId="705">
    <w:name w:val="Normal (Web)"/>
    <w:basedOn w:val="678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706" w:customStyle="1">
    <w:name w:val="Абзац списка Знак"/>
    <w:basedOn w:val="680"/>
    <w:link w:val="701"/>
    <w:uiPriority w:val="34"/>
    <w:rPr>
      <w:rFonts w:ascii="Calibri" w:hAnsi="Calibri" w:eastAsia="Calibri" w:cs="Calibri"/>
    </w:rPr>
  </w:style>
  <w:style w:type="paragraph" w:styleId="707">
    <w:name w:val="Plain Text"/>
    <w:basedOn w:val="678"/>
    <w:link w:val="708"/>
    <w:uiPriority w:val="99"/>
    <w:unhideWhenUsed/>
    <w:rPr>
      <w:rFonts w:ascii="Calibri" w:hAnsi="Calibri" w:eastAsiaTheme="minorHAnsi" w:cstheme="minorBidi"/>
      <w:sz w:val="22"/>
      <w:szCs w:val="21"/>
      <w:lang w:eastAsia="en-US"/>
    </w:rPr>
  </w:style>
  <w:style w:type="character" w:styleId="708" w:customStyle="1">
    <w:name w:val="Текст Знак"/>
    <w:basedOn w:val="680"/>
    <w:link w:val="707"/>
    <w:uiPriority w:val="99"/>
    <w:rPr>
      <w:rFonts w:ascii="Calibri" w:hAnsi="Calibri"/>
      <w:szCs w:val="21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B7DF6-BAAF-4A6C-BD8C-E37D50303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Витальевна Фишер</dc:creator>
  <cp:revision>5</cp:revision>
  <dcterms:created xsi:type="dcterms:W3CDTF">2026-03-26T10:56:00Z</dcterms:created>
  <dcterms:modified xsi:type="dcterms:W3CDTF">2026-04-23T09:25:01Z</dcterms:modified>
</cp:coreProperties>
</file>